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2163A" w14:textId="63ED1473" w:rsidR="00993E9B" w:rsidRDefault="00993E9B" w:rsidP="00647F53">
      <w:pPr>
        <w:pStyle w:val="CRCoverPage"/>
        <w:tabs>
          <w:tab w:val="right" w:pos="9639"/>
        </w:tabs>
        <w:spacing w:after="0"/>
        <w:rPr>
          <w:b/>
          <w:noProof/>
          <w:sz w:val="24"/>
        </w:rPr>
      </w:pPr>
      <w:r w:rsidRPr="00FB346E">
        <w:rPr>
          <w:b/>
          <w:noProof/>
          <w:sz w:val="24"/>
        </w:rPr>
        <w:t>3GPP TSG-RAN4 Meeting #1</w:t>
      </w:r>
      <w:r>
        <w:rPr>
          <w:b/>
          <w:noProof/>
          <w:sz w:val="24"/>
        </w:rPr>
        <w:t>1</w:t>
      </w:r>
      <w:r w:rsidR="00E019E8">
        <w:rPr>
          <w:b/>
          <w:noProof/>
          <w:sz w:val="24"/>
        </w:rPr>
        <w:t>1</w:t>
      </w:r>
      <w:r w:rsidRPr="0033027D">
        <w:rPr>
          <w:b/>
          <w:noProof/>
          <w:sz w:val="24"/>
        </w:rPr>
        <w:tab/>
      </w:r>
      <w:r w:rsidR="007B480F" w:rsidRPr="007B480F">
        <w:rPr>
          <w:b/>
          <w:noProof/>
          <w:sz w:val="24"/>
        </w:rPr>
        <w:t>R4-240</w:t>
      </w:r>
      <w:r w:rsidR="005C0AEF">
        <w:rPr>
          <w:b/>
          <w:noProof/>
          <w:sz w:val="24"/>
        </w:rPr>
        <w:t>8405</w:t>
      </w:r>
    </w:p>
    <w:p w14:paraId="3A8B920D" w14:textId="20CEAE83" w:rsidR="00993E9B" w:rsidRPr="00B144E9" w:rsidRDefault="00E019E8" w:rsidP="00647F53">
      <w:pPr>
        <w:rPr>
          <w:rFonts w:ascii="Arial" w:hAnsi="Arial" w:cs="Arial"/>
          <w:b/>
          <w:noProof/>
          <w:sz w:val="24"/>
          <w:szCs w:val="24"/>
        </w:rPr>
      </w:pPr>
      <w:r w:rsidRPr="0052514D">
        <w:rPr>
          <w:rFonts w:ascii="Arial" w:eastAsia="SimSun" w:hAnsi="Arial" w:cs="Arial"/>
          <w:b/>
          <w:sz w:val="24"/>
          <w:szCs w:val="24"/>
          <w:lang w:eastAsia="zh-CN"/>
        </w:rPr>
        <w:t>Fukuoka, Japan, 20</w:t>
      </w:r>
      <w:r w:rsidRPr="0052514D">
        <w:rPr>
          <w:rFonts w:ascii="Arial" w:eastAsia="SimSun" w:hAnsi="Arial" w:cs="Arial"/>
          <w:b/>
          <w:sz w:val="24"/>
          <w:szCs w:val="24"/>
          <w:vertAlign w:val="superscript"/>
          <w:lang w:eastAsia="zh-CN"/>
        </w:rPr>
        <w:t>th</w:t>
      </w:r>
      <w:r w:rsidRPr="0052514D">
        <w:rPr>
          <w:rFonts w:ascii="Arial" w:eastAsia="SimSun" w:hAnsi="Arial" w:cs="Arial"/>
          <w:b/>
          <w:sz w:val="24"/>
          <w:szCs w:val="24"/>
          <w:lang w:eastAsia="zh-CN"/>
        </w:rPr>
        <w:t xml:space="preserve"> – 24</w:t>
      </w:r>
      <w:r w:rsidRPr="0052514D">
        <w:rPr>
          <w:rFonts w:ascii="Arial" w:eastAsia="SimSun" w:hAnsi="Arial" w:cs="Arial"/>
          <w:b/>
          <w:sz w:val="24"/>
          <w:szCs w:val="24"/>
          <w:vertAlign w:val="superscript"/>
          <w:lang w:eastAsia="zh-CN"/>
        </w:rPr>
        <w:t>th</w:t>
      </w:r>
      <w:r w:rsidRPr="0052514D">
        <w:rPr>
          <w:rFonts w:ascii="Arial" w:eastAsia="SimSun" w:hAnsi="Arial" w:cs="Arial"/>
          <w:b/>
          <w:sz w:val="24"/>
          <w:szCs w:val="24"/>
          <w:lang w:eastAsia="zh-CN"/>
        </w:rPr>
        <w:t xml:space="preserve"> May, 2024</w:t>
      </w:r>
      <w:r w:rsidR="00993E9B">
        <w:rPr>
          <w:rFonts w:cs="Arial"/>
          <w:b/>
          <w:sz w:val="24"/>
        </w:rPr>
        <w:br/>
      </w:r>
    </w:p>
    <w:p w14:paraId="176ED48B" w14:textId="4160D6C6" w:rsidR="00993E9B" w:rsidRPr="005E4466" w:rsidRDefault="00993E9B" w:rsidP="00EB6A62">
      <w:pPr>
        <w:spacing w:before="120" w:after="120"/>
        <w:ind w:left="1985" w:hanging="1985"/>
        <w:jc w:val="both"/>
        <w:rPr>
          <w:rFonts w:ascii="Arial" w:hAnsi="Arial" w:cs="Arial"/>
          <w:b/>
        </w:rPr>
      </w:pPr>
      <w:r w:rsidRPr="005E4466">
        <w:rPr>
          <w:rFonts w:ascii="Arial" w:hAnsi="Arial" w:cs="Arial"/>
          <w:b/>
        </w:rPr>
        <w:t>Title:</w:t>
      </w:r>
      <w:r w:rsidRPr="005E4466">
        <w:rPr>
          <w:rFonts w:ascii="Arial" w:hAnsi="Arial" w:cs="Arial"/>
          <w:b/>
        </w:rPr>
        <w:tab/>
      </w:r>
      <w:r>
        <w:rPr>
          <w:rFonts w:ascii="Arial" w:hAnsi="Arial" w:cs="Arial"/>
          <w:b/>
        </w:rPr>
        <w:t xml:space="preserve">Views on </w:t>
      </w:r>
      <w:r w:rsidR="00300553">
        <w:rPr>
          <w:rFonts w:ascii="Arial" w:hAnsi="Arial" w:cs="Arial"/>
          <w:b/>
        </w:rPr>
        <w:t>Radio</w:t>
      </w:r>
      <w:r w:rsidRPr="00E67FB1">
        <w:rPr>
          <w:rFonts w:ascii="Arial" w:hAnsi="Arial" w:cs="Arial"/>
          <w:b/>
        </w:rPr>
        <w:t xml:space="preserve"> parameters for </w:t>
      </w:r>
      <w:r w:rsidR="00300553">
        <w:rPr>
          <w:rFonts w:ascii="Arial" w:hAnsi="Arial" w:cs="Arial"/>
          <w:b/>
        </w:rPr>
        <w:t>14800</w:t>
      </w:r>
      <w:r w:rsidR="00292FF5">
        <w:rPr>
          <w:rFonts w:ascii="Arial" w:hAnsi="Arial" w:cs="Arial"/>
          <w:b/>
        </w:rPr>
        <w:t xml:space="preserve"> - </w:t>
      </w:r>
      <w:r w:rsidR="00300553">
        <w:rPr>
          <w:rFonts w:ascii="Arial" w:hAnsi="Arial" w:cs="Arial"/>
          <w:b/>
        </w:rPr>
        <w:t>15350</w:t>
      </w:r>
      <w:r w:rsidRPr="00E67FB1">
        <w:rPr>
          <w:rFonts w:ascii="Arial" w:hAnsi="Arial" w:cs="Arial"/>
          <w:b/>
        </w:rPr>
        <w:t xml:space="preserve"> MHz</w:t>
      </w:r>
    </w:p>
    <w:p w14:paraId="544628E3" w14:textId="6769BDA4" w:rsidR="00993E9B" w:rsidRPr="005E4466" w:rsidRDefault="00993E9B" w:rsidP="00EB6A62">
      <w:pPr>
        <w:spacing w:before="120" w:after="120"/>
        <w:ind w:left="1985" w:hanging="1985"/>
        <w:jc w:val="both"/>
        <w:rPr>
          <w:rFonts w:ascii="Arial" w:hAnsi="Arial" w:cs="Arial"/>
          <w:b/>
        </w:rPr>
      </w:pPr>
      <w:r w:rsidRPr="005E4466">
        <w:rPr>
          <w:rFonts w:ascii="Arial" w:hAnsi="Arial" w:cs="Arial"/>
          <w:b/>
        </w:rPr>
        <w:t>Source:</w:t>
      </w:r>
      <w:r w:rsidRPr="005E4466">
        <w:rPr>
          <w:rFonts w:ascii="Arial" w:hAnsi="Arial" w:cs="Arial"/>
          <w:b/>
        </w:rPr>
        <w:tab/>
        <w:t>Qualcomm Incorporated</w:t>
      </w:r>
    </w:p>
    <w:p w14:paraId="412EB34C" w14:textId="7814B08D" w:rsidR="00993E9B" w:rsidRPr="005E4466" w:rsidRDefault="00993E9B" w:rsidP="00EB6A62">
      <w:pPr>
        <w:spacing w:before="120" w:after="120"/>
        <w:ind w:left="1985" w:hanging="1985"/>
        <w:jc w:val="both"/>
        <w:rPr>
          <w:rFonts w:ascii="Arial" w:hAnsi="Arial" w:cs="Arial"/>
          <w:b/>
        </w:rPr>
      </w:pPr>
      <w:r w:rsidRPr="005E4466">
        <w:rPr>
          <w:rFonts w:ascii="Arial" w:hAnsi="Arial" w:cs="Arial"/>
          <w:b/>
        </w:rPr>
        <w:t>Agenda item:</w:t>
      </w:r>
      <w:r w:rsidRPr="005E4466">
        <w:rPr>
          <w:rFonts w:ascii="Arial" w:hAnsi="Arial" w:cs="Arial"/>
          <w:b/>
        </w:rPr>
        <w:tab/>
      </w:r>
      <w:r w:rsidR="00DA3AC3">
        <w:rPr>
          <w:rFonts w:ascii="Arial" w:hAnsi="Arial" w:cs="Arial"/>
          <w:b/>
        </w:rPr>
        <w:t>10</w:t>
      </w:r>
      <w:r w:rsidR="00937778">
        <w:rPr>
          <w:rFonts w:ascii="Arial" w:hAnsi="Arial" w:cs="Arial"/>
          <w:b/>
        </w:rPr>
        <w:t>.3.</w:t>
      </w:r>
      <w:r w:rsidR="002E163C">
        <w:rPr>
          <w:rFonts w:ascii="Arial" w:hAnsi="Arial" w:cs="Arial"/>
          <w:b/>
        </w:rPr>
        <w:t>4.2</w:t>
      </w:r>
    </w:p>
    <w:p w14:paraId="419AB823" w14:textId="2118B863" w:rsidR="00993E9B" w:rsidRPr="00C13DA6" w:rsidRDefault="00993E9B" w:rsidP="00EB6A62">
      <w:pPr>
        <w:spacing w:before="120" w:after="120"/>
        <w:ind w:left="1985" w:hanging="1985"/>
        <w:jc w:val="both"/>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6796FA4B" w14:textId="77777777" w:rsidR="00993E9B" w:rsidRDefault="00993E9B" w:rsidP="00EB6A62">
      <w:pPr>
        <w:pStyle w:val="Heading1"/>
        <w:jc w:val="both"/>
      </w:pPr>
      <w:r>
        <w:t>1.</w:t>
      </w:r>
      <w:r>
        <w:tab/>
        <w:t>Introduction</w:t>
      </w:r>
    </w:p>
    <w:p w14:paraId="6A89076E" w14:textId="5CA2538C" w:rsidR="00BA7F52" w:rsidRDefault="00993E9B" w:rsidP="00EB6A62">
      <w:pPr>
        <w:jc w:val="both"/>
      </w:pPr>
      <w:r>
        <w:t xml:space="preserve">During RAN#103 plenary a new study item </w:t>
      </w:r>
      <w:r w:rsidRPr="004A7143">
        <w:t>on IMT parameters for 4400 to 4800 MHz, 7125 to 8400 MHz and 14800 to 15350 MHz</w:t>
      </w:r>
      <w:r>
        <w:t xml:space="preserve"> was approved [1]. </w:t>
      </w:r>
      <w:r w:rsidR="00E019E8">
        <w:t xml:space="preserve">In RAN4#110-bis, </w:t>
      </w:r>
      <w:r w:rsidR="00226F21">
        <w:t xml:space="preserve">a WF was agreed in [2] </w:t>
      </w:r>
      <w:r w:rsidR="00255056">
        <w:t xml:space="preserve">where several agreements were captured </w:t>
      </w:r>
      <w:r w:rsidR="00BA7F52">
        <w:t>for</w:t>
      </w:r>
      <w:r w:rsidR="00255056">
        <w:t xml:space="preserve"> the 7125 – 8400 MHz </w:t>
      </w:r>
      <w:r w:rsidR="00EF4D1E">
        <w:t xml:space="preserve">and 14800 – 15350 MHz </w:t>
      </w:r>
      <w:r w:rsidR="00BA7F52">
        <w:t xml:space="preserve">frequency range. In this contribution, we provide our views on the different RF parameters for BS and UE items for the </w:t>
      </w:r>
      <w:r w:rsidR="002E163C">
        <w:t>14800 – 15350</w:t>
      </w:r>
      <w:r w:rsidR="00EF4D1E">
        <w:t xml:space="preserve"> MHz frequency</w:t>
      </w:r>
      <w:r w:rsidR="00BA7F52">
        <w:t xml:space="preserve"> range. </w:t>
      </w:r>
    </w:p>
    <w:p w14:paraId="392DE68E" w14:textId="4A5E361A" w:rsidR="00993E9B" w:rsidRDefault="00993E9B" w:rsidP="00EB6A62">
      <w:pPr>
        <w:pStyle w:val="Heading1"/>
        <w:jc w:val="both"/>
      </w:pPr>
      <w:r>
        <w:t>2</w:t>
      </w:r>
      <w:r w:rsidR="00C447A0">
        <w:t xml:space="preserve"> </w:t>
      </w:r>
      <w:r w:rsidR="00C447A0">
        <w:tab/>
        <w:t>Discussion</w:t>
      </w:r>
    </w:p>
    <w:p w14:paraId="38CED54A" w14:textId="37F8ECF1" w:rsidR="007D1231" w:rsidRDefault="007D1231" w:rsidP="00EB6A62">
      <w:pPr>
        <w:pStyle w:val="Heading2"/>
        <w:jc w:val="both"/>
      </w:pPr>
      <w:r>
        <w:t>2.1</w:t>
      </w:r>
      <w:r>
        <w:tab/>
        <w:t>System parameters</w:t>
      </w:r>
    </w:p>
    <w:p w14:paraId="6563B263" w14:textId="6BEA27C7" w:rsidR="00B25ED1" w:rsidRDefault="00C13DA6" w:rsidP="00EB6A62">
      <w:pPr>
        <w:pStyle w:val="Heading3"/>
        <w:jc w:val="both"/>
        <w:rPr>
          <w:lang w:eastAsia="ja-JP"/>
        </w:rPr>
      </w:pPr>
      <w:r>
        <w:rPr>
          <w:lang w:eastAsia="ja-JP"/>
        </w:rPr>
        <w:t>2.1.1</w:t>
      </w:r>
      <w:r>
        <w:rPr>
          <w:lang w:eastAsia="ja-JP"/>
        </w:rPr>
        <w:tab/>
        <w:t>Duplexing</w:t>
      </w:r>
    </w:p>
    <w:p w14:paraId="4129602F" w14:textId="70F5D92E" w:rsidR="004E5D73" w:rsidRDefault="004E5D73" w:rsidP="00EB6A62">
      <w:pPr>
        <w:jc w:val="both"/>
        <w:rPr>
          <w:lang w:eastAsia="ja-JP"/>
        </w:rPr>
      </w:pPr>
      <w:r>
        <w:rPr>
          <w:lang w:eastAsia="ja-JP"/>
        </w:rPr>
        <w:t>During RAN4#110-bis, extensive discussion</w:t>
      </w:r>
      <w:r w:rsidR="00C13DA6">
        <w:rPr>
          <w:lang w:eastAsia="ja-JP"/>
        </w:rPr>
        <w:t xml:space="preserve"> was held</w:t>
      </w:r>
      <w:r>
        <w:rPr>
          <w:lang w:eastAsia="ja-JP"/>
        </w:rPr>
        <w:t xml:space="preserve"> on the incorporation of SBFD </w:t>
      </w:r>
      <w:r w:rsidR="00C13DA6">
        <w:rPr>
          <w:lang w:eastAsia="ja-JP"/>
        </w:rPr>
        <w:t xml:space="preserve">as a duplex method </w:t>
      </w:r>
      <w:r>
        <w:rPr>
          <w:lang w:eastAsia="ja-JP"/>
        </w:rPr>
        <w:t>for the 4</w:t>
      </w:r>
      <w:r w:rsidR="00D81564">
        <w:rPr>
          <w:lang w:eastAsia="ja-JP"/>
        </w:rPr>
        <w:t>400-4800MHz frequency range</w:t>
      </w:r>
      <w:r w:rsidR="006C4E58">
        <w:rPr>
          <w:lang w:eastAsia="ja-JP"/>
        </w:rPr>
        <w:t xml:space="preserve"> and the following was captured in [2]</w:t>
      </w:r>
      <w:r w:rsidR="00C13DA6">
        <w:rPr>
          <w:lang w:eastAsia="ja-JP"/>
        </w:rPr>
        <w:t xml:space="preserve"> regarding the 7125 – 8400 MHz frequency range</w:t>
      </w:r>
      <w:r w:rsidR="006C4E58">
        <w:rPr>
          <w:lang w:eastAsia="ja-JP"/>
        </w:rPr>
        <w:t>:</w:t>
      </w:r>
    </w:p>
    <w:tbl>
      <w:tblPr>
        <w:tblStyle w:val="TableGrid"/>
        <w:tblW w:w="0" w:type="auto"/>
        <w:tblLook w:val="04A0" w:firstRow="1" w:lastRow="0" w:firstColumn="1" w:lastColumn="0" w:noHBand="0" w:noVBand="1"/>
      </w:tblPr>
      <w:tblGrid>
        <w:gridCol w:w="9622"/>
      </w:tblGrid>
      <w:tr w:rsidR="00B25169" w14:paraId="7991370E" w14:textId="77777777" w:rsidTr="00B25169">
        <w:tc>
          <w:tcPr>
            <w:tcW w:w="9622" w:type="dxa"/>
          </w:tcPr>
          <w:p w14:paraId="4A8F1218" w14:textId="77777777" w:rsidR="006E1BA5" w:rsidRPr="00D0280F" w:rsidRDefault="006E1BA5" w:rsidP="00EB6A62">
            <w:pPr>
              <w:ind w:left="284"/>
              <w:jc w:val="both"/>
              <w:rPr>
                <w:u w:val="single"/>
              </w:rPr>
            </w:pPr>
            <w:r w:rsidRPr="00D0280F">
              <w:rPr>
                <w:u w:val="single"/>
              </w:rPr>
              <w:t xml:space="preserve">Issue 2-1 Duplex Method </w:t>
            </w:r>
          </w:p>
          <w:p w14:paraId="6DB5FD3B" w14:textId="77777777" w:rsidR="006E1BA5" w:rsidRDefault="006E1BA5" w:rsidP="00EB6A62">
            <w:pPr>
              <w:pStyle w:val="ListParagraph"/>
              <w:numPr>
                <w:ilvl w:val="0"/>
                <w:numId w:val="6"/>
              </w:numPr>
              <w:ind w:left="1004"/>
              <w:jc w:val="both"/>
            </w:pPr>
            <w:r>
              <w:t xml:space="preserve">Option 1: Align with 4GHz outcome, i.e., TDD as baseline, check </w:t>
            </w:r>
            <w:proofErr w:type="gramStart"/>
            <w:r>
              <w:t>SBFD</w:t>
            </w:r>
            <w:proofErr w:type="gramEnd"/>
            <w:r>
              <w:t xml:space="preserve"> </w:t>
            </w:r>
          </w:p>
          <w:p w14:paraId="470DDAD7" w14:textId="643DC7C1" w:rsidR="00B25169" w:rsidRDefault="006E1BA5" w:rsidP="00EB6A62">
            <w:pPr>
              <w:pStyle w:val="ListParagraph"/>
              <w:numPr>
                <w:ilvl w:val="0"/>
                <w:numId w:val="6"/>
              </w:numPr>
              <w:ind w:left="1004"/>
              <w:jc w:val="both"/>
            </w:pPr>
            <w:r>
              <w:t>Option 2: Follow n104</w:t>
            </w:r>
          </w:p>
        </w:tc>
      </w:tr>
    </w:tbl>
    <w:p w14:paraId="6D9BE16C" w14:textId="77777777" w:rsidR="006E1BA5" w:rsidRDefault="006E1BA5" w:rsidP="00EB6A62">
      <w:pPr>
        <w:jc w:val="both"/>
        <w:rPr>
          <w:lang w:eastAsia="ja-JP"/>
        </w:rPr>
      </w:pPr>
    </w:p>
    <w:p w14:paraId="7997047E" w14:textId="421D52FF" w:rsidR="00E24F64" w:rsidRDefault="002E163C" w:rsidP="000032EA">
      <w:pPr>
        <w:jc w:val="both"/>
        <w:rPr>
          <w:lang w:eastAsia="ja-JP"/>
        </w:rPr>
      </w:pPr>
      <w:r>
        <w:rPr>
          <w:lang w:eastAsia="ja-JP"/>
        </w:rPr>
        <w:t xml:space="preserve">Since there is </w:t>
      </w:r>
      <w:r w:rsidR="00DA69DB">
        <w:rPr>
          <w:lang w:eastAsia="ja-JP"/>
        </w:rPr>
        <w:t xml:space="preserve">no 3GPP defined band for the 7125 – 8400 MHz and 14800 – 15350 MHz frequency ranges, it is expected that the discussion regarding duplexing would be connected. </w:t>
      </w:r>
      <w:r w:rsidR="000032EA">
        <w:rPr>
          <w:lang w:eastAsia="ja-JP"/>
        </w:rPr>
        <w:t xml:space="preserve">For the 10GHz study in [3], TDD was agreed as a baseline and </w:t>
      </w:r>
      <w:r w:rsidR="006E1BA5">
        <w:rPr>
          <w:lang w:eastAsia="ja-JP"/>
        </w:rPr>
        <w:t xml:space="preserve">it was </w:t>
      </w:r>
      <w:r w:rsidR="000032EA">
        <w:rPr>
          <w:lang w:eastAsia="ja-JP"/>
        </w:rPr>
        <w:t>captured in [3]</w:t>
      </w:r>
      <w:r w:rsidR="006E1BA5">
        <w:rPr>
          <w:lang w:eastAsia="ja-JP"/>
        </w:rPr>
        <w:t xml:space="preserve"> that even if FDD is not precluded, it is likely that TDD will be deployed. </w:t>
      </w:r>
      <w:r w:rsidR="00B87AAF">
        <w:rPr>
          <w:lang w:eastAsia="ja-JP"/>
        </w:rPr>
        <w:t>On the other hand</w:t>
      </w:r>
      <w:r w:rsidR="000E6DCC">
        <w:rPr>
          <w:lang w:eastAsia="ja-JP"/>
        </w:rPr>
        <w:t xml:space="preserve">, </w:t>
      </w:r>
      <w:r w:rsidR="000E6DCC" w:rsidRPr="000E6DCC">
        <w:rPr>
          <w:lang w:eastAsia="ja-JP"/>
        </w:rPr>
        <w:t>3GPP has been studying since Rel-18 the feasibility of allowing the simultaneous existence of downlink and uplink at the gNB side within a conventional TDD band (</w:t>
      </w:r>
      <w:r w:rsidR="000E6DCC">
        <w:rPr>
          <w:lang w:eastAsia="ja-JP"/>
        </w:rPr>
        <w:t>i.e., SBFD</w:t>
      </w:r>
      <w:r w:rsidR="000E6DCC" w:rsidRPr="000E6DCC">
        <w:rPr>
          <w:lang w:eastAsia="ja-JP"/>
        </w:rPr>
        <w:t>). The outcome of the Rel-18 study has been captured in TR 38.858. Currently 3GPP is specifying in Rel-19 SBFD operation at the gNB side within a TDD carrier, gNB-to-gNB CLI handling schemes and UE-to-UE CLI handling schemes for SBFD operation, and RF requirements for SBFD operation at gNB</w:t>
      </w:r>
      <w:r w:rsidR="00B87AAF">
        <w:rPr>
          <w:lang w:eastAsia="ja-JP"/>
        </w:rPr>
        <w:t xml:space="preserve"> [4]</w:t>
      </w:r>
      <w:r w:rsidR="000E6DCC" w:rsidRPr="000E6DCC">
        <w:rPr>
          <w:lang w:eastAsia="ja-JP"/>
        </w:rPr>
        <w:t xml:space="preserve">. </w:t>
      </w:r>
      <w:r w:rsidR="00E24F64">
        <w:rPr>
          <w:lang w:eastAsia="ja-JP"/>
        </w:rPr>
        <w:t xml:space="preserve">It is thus important to document in this SI the ongoing </w:t>
      </w:r>
      <w:r w:rsidR="00F37DF5">
        <w:rPr>
          <w:lang w:eastAsia="ja-JP"/>
        </w:rPr>
        <w:t>progress</w:t>
      </w:r>
      <w:r w:rsidR="00E24F64">
        <w:rPr>
          <w:lang w:eastAsia="ja-JP"/>
        </w:rPr>
        <w:t xml:space="preserve"> within 3GPP on duplex evolution</w:t>
      </w:r>
      <w:r w:rsidR="00F37DF5">
        <w:rPr>
          <w:lang w:eastAsia="ja-JP"/>
        </w:rPr>
        <w:t>, specifically, SBFD</w:t>
      </w:r>
      <w:r w:rsidR="00E24F64">
        <w:rPr>
          <w:lang w:eastAsia="ja-JP"/>
        </w:rPr>
        <w:t xml:space="preserve">. </w:t>
      </w:r>
    </w:p>
    <w:p w14:paraId="017C8388" w14:textId="08EFB62F" w:rsidR="00E24F64" w:rsidRPr="00E24F64" w:rsidRDefault="00E24F64" w:rsidP="00EB6A62">
      <w:pPr>
        <w:jc w:val="both"/>
        <w:rPr>
          <w:b/>
          <w:bCs/>
          <w:lang w:eastAsia="ja-JP"/>
        </w:rPr>
      </w:pPr>
      <w:r w:rsidRPr="009E4743">
        <w:rPr>
          <w:b/>
          <w:bCs/>
          <w:u w:val="single"/>
          <w:lang w:eastAsia="ja-JP"/>
        </w:rPr>
        <w:t>Observation 1</w:t>
      </w:r>
      <w:r w:rsidRPr="00E24F64">
        <w:rPr>
          <w:b/>
          <w:bCs/>
          <w:lang w:eastAsia="ja-JP"/>
        </w:rPr>
        <w:t xml:space="preserve">: 3GPP has been studying flexible duplexing (i.e., SBFD) at the gNB in Rel-18 and Rel-19 and it is </w:t>
      </w:r>
      <w:r w:rsidR="00F37DF5">
        <w:rPr>
          <w:b/>
          <w:bCs/>
          <w:lang w:eastAsia="ja-JP"/>
        </w:rPr>
        <w:t>desired</w:t>
      </w:r>
      <w:r w:rsidRPr="00E24F64">
        <w:rPr>
          <w:b/>
          <w:bCs/>
          <w:lang w:eastAsia="ja-JP"/>
        </w:rPr>
        <w:t xml:space="preserve"> to document such </w:t>
      </w:r>
      <w:r w:rsidR="00F37DF5">
        <w:rPr>
          <w:b/>
          <w:bCs/>
          <w:lang w:eastAsia="ja-JP"/>
        </w:rPr>
        <w:t>progress</w:t>
      </w:r>
      <w:r w:rsidRPr="00E24F64">
        <w:rPr>
          <w:b/>
          <w:bCs/>
          <w:lang w:eastAsia="ja-JP"/>
        </w:rPr>
        <w:t xml:space="preserve"> in this SI</w:t>
      </w:r>
      <w:r w:rsidR="00F37DF5">
        <w:rPr>
          <w:b/>
          <w:bCs/>
          <w:lang w:eastAsia="ja-JP"/>
        </w:rPr>
        <w:t xml:space="preserve"> TR</w:t>
      </w:r>
      <w:r w:rsidR="00B820D4">
        <w:rPr>
          <w:b/>
          <w:bCs/>
          <w:lang w:eastAsia="ja-JP"/>
        </w:rPr>
        <w:t xml:space="preserve"> (</w:t>
      </w:r>
      <w:bookmarkStart w:id="0" w:name="specNumber"/>
      <w:r w:rsidR="00B820D4">
        <w:rPr>
          <w:b/>
          <w:bCs/>
          <w:lang w:eastAsia="ja-JP"/>
        </w:rPr>
        <w:t xml:space="preserve">i.e., TR </w:t>
      </w:r>
      <w:r w:rsidR="00B820D4" w:rsidRPr="00B820D4">
        <w:rPr>
          <w:b/>
          <w:bCs/>
          <w:lang w:eastAsia="ja-JP"/>
        </w:rPr>
        <w:t>38.922</w:t>
      </w:r>
      <w:bookmarkEnd w:id="0"/>
      <w:r w:rsidR="00B820D4">
        <w:rPr>
          <w:b/>
          <w:bCs/>
          <w:lang w:eastAsia="ja-JP"/>
        </w:rPr>
        <w:t>)</w:t>
      </w:r>
      <w:r w:rsidRPr="00E24F64">
        <w:rPr>
          <w:b/>
          <w:bCs/>
          <w:lang w:eastAsia="ja-JP"/>
        </w:rPr>
        <w:t xml:space="preserve">. </w:t>
      </w:r>
    </w:p>
    <w:p w14:paraId="07E2BAE1" w14:textId="2A08D4EA" w:rsidR="005F2940" w:rsidRDefault="00E24F64" w:rsidP="00EB6A62">
      <w:pPr>
        <w:jc w:val="both"/>
        <w:rPr>
          <w:lang w:eastAsia="ja-JP"/>
        </w:rPr>
      </w:pPr>
      <w:r>
        <w:rPr>
          <w:lang w:eastAsia="ja-JP"/>
        </w:rPr>
        <w:t>Since the core requirements for SBFD-capable gNB is still under development within Rel-19 package</w:t>
      </w:r>
      <w:r w:rsidR="00F37DF5">
        <w:rPr>
          <w:lang w:eastAsia="ja-JP"/>
        </w:rPr>
        <w:t xml:space="preserve"> [4]</w:t>
      </w:r>
      <w:r>
        <w:rPr>
          <w:lang w:eastAsia="ja-JP"/>
        </w:rPr>
        <w:t>, it is important t</w:t>
      </w:r>
      <w:r w:rsidR="000E6DCC" w:rsidRPr="000E6DCC">
        <w:rPr>
          <w:lang w:eastAsia="ja-JP"/>
        </w:rPr>
        <w:t>o progress the sharing studies in WP5D</w:t>
      </w:r>
      <w:r>
        <w:rPr>
          <w:lang w:eastAsia="ja-JP"/>
        </w:rPr>
        <w:t xml:space="preserve"> via timely providing WP5D with the requested </w:t>
      </w:r>
      <w:r w:rsidR="00F37DF5">
        <w:rPr>
          <w:lang w:eastAsia="ja-JP"/>
        </w:rPr>
        <w:t xml:space="preserve">RF </w:t>
      </w:r>
      <w:r>
        <w:rPr>
          <w:lang w:eastAsia="ja-JP"/>
        </w:rPr>
        <w:t xml:space="preserve">parameters. Accordingly, it is proposed that </w:t>
      </w:r>
      <w:r w:rsidR="000E6DCC" w:rsidRPr="000E6DCC">
        <w:rPr>
          <w:lang w:eastAsia="ja-JP"/>
        </w:rPr>
        <w:t xml:space="preserve">RAN4 </w:t>
      </w:r>
      <w:r w:rsidR="00F37DF5">
        <w:rPr>
          <w:lang w:eastAsia="ja-JP"/>
        </w:rPr>
        <w:t>adopts</w:t>
      </w:r>
      <w:r w:rsidR="000E6DCC" w:rsidRPr="000E6DCC">
        <w:rPr>
          <w:lang w:eastAsia="ja-JP"/>
        </w:rPr>
        <w:t xml:space="preserve"> TDD duplexing </w:t>
      </w:r>
      <w:r>
        <w:rPr>
          <w:lang w:eastAsia="ja-JP"/>
        </w:rPr>
        <w:t xml:space="preserve">as </w:t>
      </w:r>
      <w:r w:rsidR="00F37DF5">
        <w:rPr>
          <w:lang w:eastAsia="ja-JP"/>
        </w:rPr>
        <w:t xml:space="preserve">a </w:t>
      </w:r>
      <w:r>
        <w:rPr>
          <w:lang w:eastAsia="ja-JP"/>
        </w:rPr>
        <w:t xml:space="preserve">baseline </w:t>
      </w:r>
      <w:r w:rsidR="000E6DCC" w:rsidRPr="000E6DCC">
        <w:rPr>
          <w:lang w:eastAsia="ja-JP"/>
        </w:rPr>
        <w:t xml:space="preserve">for the </w:t>
      </w:r>
      <w:r w:rsidR="00F34C84">
        <w:rPr>
          <w:lang w:eastAsia="ja-JP"/>
        </w:rPr>
        <w:t xml:space="preserve">14800 - </w:t>
      </w:r>
      <w:r w:rsidR="00365D1E">
        <w:rPr>
          <w:lang w:eastAsia="ja-JP"/>
        </w:rPr>
        <w:t>15350</w:t>
      </w:r>
      <w:r w:rsidR="000E6DCC" w:rsidRPr="000E6DCC">
        <w:rPr>
          <w:lang w:eastAsia="ja-JP"/>
        </w:rPr>
        <w:t xml:space="preserve"> </w:t>
      </w:r>
      <w:r w:rsidR="00F37DF5">
        <w:rPr>
          <w:lang w:eastAsia="ja-JP"/>
        </w:rPr>
        <w:t>M</w:t>
      </w:r>
      <w:r w:rsidR="000E6DCC" w:rsidRPr="000E6DCC">
        <w:rPr>
          <w:lang w:eastAsia="ja-JP"/>
        </w:rPr>
        <w:t xml:space="preserve">Hz </w:t>
      </w:r>
      <w:r>
        <w:rPr>
          <w:lang w:eastAsia="ja-JP"/>
        </w:rPr>
        <w:t>and capture in the TR text reflecting the ongoing work on SBFD</w:t>
      </w:r>
      <w:r w:rsidR="005F2940">
        <w:rPr>
          <w:lang w:eastAsia="ja-JP"/>
        </w:rPr>
        <w:t xml:space="preserve"> within 3GPP. </w:t>
      </w:r>
    </w:p>
    <w:p w14:paraId="6B76D6F7" w14:textId="77777777" w:rsidR="00E770D6" w:rsidRDefault="005F2940" w:rsidP="00E770D6">
      <w:pPr>
        <w:jc w:val="both"/>
        <w:rPr>
          <w:b/>
          <w:bCs/>
          <w:lang w:eastAsia="ja-JP"/>
        </w:rPr>
      </w:pPr>
      <w:r w:rsidRPr="009E4743">
        <w:rPr>
          <w:b/>
          <w:bCs/>
          <w:u w:val="single"/>
          <w:lang w:eastAsia="ja-JP"/>
        </w:rPr>
        <w:t>Proposal 1</w:t>
      </w:r>
      <w:r w:rsidRPr="0016762A">
        <w:rPr>
          <w:b/>
          <w:bCs/>
          <w:lang w:eastAsia="ja-JP"/>
        </w:rPr>
        <w:t xml:space="preserve">: </w:t>
      </w:r>
      <w:r w:rsidR="00E770D6" w:rsidRPr="0016762A">
        <w:rPr>
          <w:b/>
          <w:bCs/>
          <w:lang w:eastAsia="ja-JP"/>
        </w:rPr>
        <w:t xml:space="preserve">RAN4 to agree on TDD as </w:t>
      </w:r>
      <w:r w:rsidR="00E770D6">
        <w:rPr>
          <w:b/>
          <w:bCs/>
          <w:lang w:eastAsia="ja-JP"/>
        </w:rPr>
        <w:t xml:space="preserve">the current </w:t>
      </w:r>
      <w:r w:rsidR="00E770D6" w:rsidRPr="0016762A">
        <w:rPr>
          <w:b/>
          <w:bCs/>
          <w:lang w:eastAsia="ja-JP"/>
        </w:rPr>
        <w:t xml:space="preserve">duplexing </w:t>
      </w:r>
      <w:r w:rsidR="00E770D6">
        <w:rPr>
          <w:b/>
          <w:bCs/>
          <w:lang w:eastAsia="ja-JP"/>
        </w:rPr>
        <w:t xml:space="preserve">candidate </w:t>
      </w:r>
      <w:r w:rsidR="00E770D6" w:rsidRPr="0016762A">
        <w:rPr>
          <w:b/>
          <w:bCs/>
          <w:lang w:eastAsia="ja-JP"/>
        </w:rPr>
        <w:t>for</w:t>
      </w:r>
      <w:r w:rsidR="00E770D6">
        <w:rPr>
          <w:b/>
          <w:bCs/>
          <w:lang w:eastAsia="ja-JP"/>
        </w:rPr>
        <w:t xml:space="preserve"> </w:t>
      </w:r>
      <w:r w:rsidR="00365D1E">
        <w:rPr>
          <w:b/>
          <w:bCs/>
          <w:lang w:eastAsia="ja-JP"/>
        </w:rPr>
        <w:t xml:space="preserve">14800 – 15350 </w:t>
      </w:r>
      <w:r w:rsidRPr="0016762A">
        <w:rPr>
          <w:b/>
          <w:bCs/>
          <w:lang w:eastAsia="ja-JP"/>
        </w:rPr>
        <w:t xml:space="preserve">MHz </w:t>
      </w:r>
      <w:r w:rsidR="00F37DF5">
        <w:rPr>
          <w:b/>
          <w:bCs/>
          <w:lang w:eastAsia="ja-JP"/>
        </w:rPr>
        <w:t xml:space="preserve">frequency range </w:t>
      </w:r>
      <w:r w:rsidRPr="0016762A">
        <w:rPr>
          <w:b/>
          <w:bCs/>
          <w:lang w:eastAsia="ja-JP"/>
        </w:rPr>
        <w:t xml:space="preserve">and </w:t>
      </w:r>
      <w:r w:rsidR="00E770D6" w:rsidRPr="0016762A">
        <w:rPr>
          <w:b/>
          <w:bCs/>
          <w:lang w:eastAsia="ja-JP"/>
        </w:rPr>
        <w:t xml:space="preserve">capture </w:t>
      </w:r>
      <w:r w:rsidR="00E770D6">
        <w:rPr>
          <w:b/>
          <w:bCs/>
          <w:lang w:eastAsia="ja-JP"/>
        </w:rPr>
        <w:t xml:space="preserve">more text on SBFD </w:t>
      </w:r>
      <w:r w:rsidR="00E770D6" w:rsidRPr="0016762A">
        <w:rPr>
          <w:b/>
          <w:bCs/>
          <w:lang w:eastAsia="ja-JP"/>
        </w:rPr>
        <w:t xml:space="preserve">in </w:t>
      </w:r>
      <w:r w:rsidR="00E770D6">
        <w:rPr>
          <w:b/>
          <w:bCs/>
          <w:lang w:eastAsia="ja-JP"/>
        </w:rPr>
        <w:t>TR 38.922</w:t>
      </w:r>
      <w:r w:rsidR="00E770D6" w:rsidRPr="0016762A">
        <w:rPr>
          <w:b/>
          <w:bCs/>
          <w:lang w:eastAsia="ja-JP"/>
        </w:rPr>
        <w:t xml:space="preserve">. </w:t>
      </w:r>
    </w:p>
    <w:p w14:paraId="48F4E0ED" w14:textId="2FD99C27" w:rsidR="00D4248B" w:rsidRPr="0016762A" w:rsidRDefault="009D5E9D" w:rsidP="00EB6A62">
      <w:pPr>
        <w:pStyle w:val="Heading3"/>
        <w:jc w:val="both"/>
        <w:rPr>
          <w:lang w:eastAsia="ja-JP"/>
        </w:rPr>
      </w:pPr>
      <w:r>
        <w:rPr>
          <w:lang w:eastAsia="ja-JP"/>
        </w:rPr>
        <w:t>2.1.2</w:t>
      </w:r>
      <w:r>
        <w:rPr>
          <w:lang w:eastAsia="ja-JP"/>
        </w:rPr>
        <w:tab/>
      </w:r>
      <w:r w:rsidR="00D4248B" w:rsidRPr="00D4248B">
        <w:rPr>
          <w:lang w:eastAsia="ja-JP"/>
        </w:rPr>
        <w:t>Channel bandwidth</w:t>
      </w:r>
    </w:p>
    <w:p w14:paraId="7D9EA049" w14:textId="638F866E" w:rsidR="00D4248B" w:rsidRDefault="00F57B90" w:rsidP="00EB6A62">
      <w:pPr>
        <w:jc w:val="both"/>
      </w:pPr>
      <w:r>
        <w:t xml:space="preserve">In general, wider channel bandwidths should be enabled with increasing frequency following same approach as FR1 (3 to 100 MHz) to FR2 (50 to 400 MHz). This comes with increasing SCS and increasing RB width and availability of the spectrum. </w:t>
      </w:r>
      <w:r w:rsidR="000515F3">
        <w:t>S</w:t>
      </w:r>
      <w:r w:rsidR="00F9647D">
        <w:t xml:space="preserve">ince the </w:t>
      </w:r>
      <w:r w:rsidR="00F46B06">
        <w:t>14800 - 15350</w:t>
      </w:r>
      <w:r w:rsidR="00F9647D">
        <w:t xml:space="preserve"> MHz</w:t>
      </w:r>
      <w:r w:rsidR="00F46B06">
        <w:t xml:space="preserve"> frequency range</w:t>
      </w:r>
      <w:r w:rsidR="00F9647D">
        <w:t xml:space="preserve"> is not in the FR1 frequency range, higher channel bandwidths </w:t>
      </w:r>
      <w:r w:rsidR="000515F3">
        <w:t xml:space="preserve">compared to 100MHz should </w:t>
      </w:r>
      <w:r w:rsidR="004C1514">
        <w:t>be the baseline</w:t>
      </w:r>
      <w:r w:rsidR="000515F3">
        <w:t xml:space="preserve">. </w:t>
      </w:r>
      <w:r w:rsidR="008D121C">
        <w:t>Such</w:t>
      </w:r>
      <w:r w:rsidR="00D52CB3">
        <w:t xml:space="preserve"> channel bandwidths </w:t>
      </w:r>
      <w:r w:rsidR="008E7DEB">
        <w:t xml:space="preserve">can be achieved via higher SCS or intra-band CA </w:t>
      </w:r>
      <w:r w:rsidR="008E7DEB">
        <w:lastRenderedPageBreak/>
        <w:t xml:space="preserve">employment. </w:t>
      </w:r>
      <w:r w:rsidR="000515F3">
        <w:t xml:space="preserve">Thus, we propose to </w:t>
      </w:r>
      <w:r w:rsidR="00CB1B49">
        <w:t>consider</w:t>
      </w:r>
      <w:r w:rsidR="000515F3">
        <w:t xml:space="preserve"> </w:t>
      </w:r>
      <w:r w:rsidR="002F643B">
        <w:t>2</w:t>
      </w:r>
      <w:r w:rsidR="000515F3">
        <w:t xml:space="preserve">00MHz </w:t>
      </w:r>
      <w:r w:rsidR="004C1514">
        <w:t xml:space="preserve">as a baseline </w:t>
      </w:r>
      <w:r w:rsidR="000515F3">
        <w:t xml:space="preserve">while mentioning that </w:t>
      </w:r>
      <w:r w:rsidR="002F643B">
        <w:t>other</w:t>
      </w:r>
      <w:r w:rsidR="000515F3">
        <w:t xml:space="preserve"> channel bandwidths are not precluded. </w:t>
      </w:r>
    </w:p>
    <w:p w14:paraId="295DA252" w14:textId="36946AD8" w:rsidR="007855B3" w:rsidRDefault="007855B3" w:rsidP="00EB6A62">
      <w:pPr>
        <w:jc w:val="both"/>
        <w:rPr>
          <w:b/>
          <w:bCs/>
        </w:rPr>
      </w:pPr>
      <w:r w:rsidRPr="00F076B6">
        <w:rPr>
          <w:b/>
          <w:bCs/>
          <w:u w:val="single"/>
        </w:rPr>
        <w:t xml:space="preserve">Proposal </w:t>
      </w:r>
      <w:r w:rsidR="00F076B6">
        <w:rPr>
          <w:b/>
          <w:bCs/>
          <w:u w:val="single"/>
        </w:rPr>
        <w:t>2</w:t>
      </w:r>
      <w:r w:rsidRPr="00915421">
        <w:rPr>
          <w:b/>
          <w:bCs/>
        </w:rPr>
        <w:t xml:space="preserve">: </w:t>
      </w:r>
      <w:r w:rsidR="00B75FB9">
        <w:rPr>
          <w:b/>
          <w:bCs/>
        </w:rPr>
        <w:t xml:space="preserve">RAN4 to </w:t>
      </w:r>
      <w:r w:rsidR="004C1514">
        <w:rPr>
          <w:b/>
          <w:bCs/>
        </w:rPr>
        <w:t>adopt</w:t>
      </w:r>
      <w:r w:rsidR="004C3F82">
        <w:rPr>
          <w:b/>
          <w:bCs/>
        </w:rPr>
        <w:t xml:space="preserve"> </w:t>
      </w:r>
      <w:r w:rsidR="002F643B">
        <w:rPr>
          <w:b/>
          <w:bCs/>
        </w:rPr>
        <w:t>2</w:t>
      </w:r>
      <w:r w:rsidR="004C3F82">
        <w:rPr>
          <w:b/>
          <w:bCs/>
        </w:rPr>
        <w:t xml:space="preserve">00MHz is a typical </w:t>
      </w:r>
      <w:r w:rsidR="004C1514">
        <w:rPr>
          <w:b/>
          <w:bCs/>
        </w:rPr>
        <w:t>channel bandwidth. O</w:t>
      </w:r>
      <w:r w:rsidR="006A56E7">
        <w:rPr>
          <w:b/>
          <w:bCs/>
        </w:rPr>
        <w:t>ther</w:t>
      </w:r>
      <w:r w:rsidR="004C3F82">
        <w:rPr>
          <w:b/>
          <w:bCs/>
        </w:rPr>
        <w:t xml:space="preserve"> channel bandwidths </w:t>
      </w:r>
      <w:r w:rsidR="004C1514">
        <w:rPr>
          <w:b/>
          <w:bCs/>
        </w:rPr>
        <w:t xml:space="preserve">should not be precluded at this stage. </w:t>
      </w:r>
      <w:r w:rsidR="004C3F82">
        <w:rPr>
          <w:b/>
          <w:bCs/>
        </w:rPr>
        <w:t xml:space="preserve"> </w:t>
      </w:r>
    </w:p>
    <w:p w14:paraId="6B6E9D9D" w14:textId="4790C952" w:rsidR="00245EE4" w:rsidRDefault="00CB1B49" w:rsidP="00EB6A62">
      <w:pPr>
        <w:pStyle w:val="Heading3"/>
        <w:jc w:val="both"/>
      </w:pPr>
      <w:r>
        <w:t>2.1.3</w:t>
      </w:r>
      <w:r>
        <w:tab/>
      </w:r>
      <w:r w:rsidR="00093094" w:rsidRPr="006F04C9">
        <w:t>Signal bandwidth</w:t>
      </w:r>
    </w:p>
    <w:p w14:paraId="2341F1F3" w14:textId="43CE94B9" w:rsidR="00AB3CD3" w:rsidRPr="00245EE4" w:rsidRDefault="00245EE4" w:rsidP="00EB6A62">
      <w:pPr>
        <w:jc w:val="both"/>
        <w:rPr>
          <w:b/>
          <w:bCs/>
          <w:u w:val="single"/>
        </w:rPr>
      </w:pPr>
      <w:r>
        <w:t>S</w:t>
      </w:r>
      <w:r w:rsidR="00093094">
        <w:t xml:space="preserve">ignal bandwidth depends on the channel bandwidth as well as </w:t>
      </w:r>
      <w:r>
        <w:t xml:space="preserve">on </w:t>
      </w:r>
      <w:r w:rsidR="00093094">
        <w:t>the sub-carrier spacing (SCS)</w:t>
      </w:r>
      <w:r w:rsidR="002D7004">
        <w:t xml:space="preserve">. </w:t>
      </w:r>
      <w:r w:rsidR="00A0411D">
        <w:rPr>
          <w:rFonts w:eastAsia="SimSun"/>
          <w:lang w:val="en-US" w:eastAsia="zh-CN"/>
        </w:rPr>
        <w:t>The transmission bandwidth configuration defined in RAN4 core spec for BS and UE can be reused to derive the necessary signal bandwidth</w:t>
      </w:r>
      <w:r w:rsidR="00AB3CD3">
        <w:rPr>
          <w:rFonts w:eastAsia="SimSun"/>
          <w:lang w:val="en-US" w:eastAsia="zh-CN"/>
        </w:rPr>
        <w:t xml:space="preserve">, where </w:t>
      </w:r>
      <w:r w:rsidR="00AB3CD3">
        <w:rPr>
          <w:rFonts w:eastAsia="Yu Mincho"/>
          <w:lang w:eastAsia="ja-JP"/>
        </w:rPr>
        <w:t>t</w:t>
      </w:r>
      <w:r w:rsidR="00A0411D">
        <w:rPr>
          <w:rFonts w:eastAsia="Yu Mincho"/>
          <w:lang w:eastAsia="ja-JP"/>
        </w:rPr>
        <w:t>he signal bandwidth is calculated based on the NR spectrum utilization for each SCS</w:t>
      </w:r>
      <w:r w:rsidR="00AB3CD3">
        <w:rPr>
          <w:rFonts w:eastAsia="Yu Mincho"/>
          <w:lang w:eastAsia="ja-JP"/>
        </w:rPr>
        <w:t xml:space="preserve"> as follows: </w:t>
      </w:r>
    </w:p>
    <w:p w14:paraId="233D6B54" w14:textId="29364D58" w:rsidR="00A0411D" w:rsidRPr="00AB3CD3" w:rsidRDefault="00A0411D" w:rsidP="00EB6A62">
      <w:pPr>
        <w:jc w:val="both"/>
        <w:rPr>
          <w:rFonts w:eastAsia="Yu Mincho"/>
          <w:lang w:eastAsia="ja-JP"/>
        </w:rPr>
      </w:pPr>
      <w:r>
        <w:t>Signal bandwidth = NRB x SCS x 12</w:t>
      </w:r>
    </w:p>
    <w:p w14:paraId="0273B87B" w14:textId="77AEFAAF" w:rsidR="007D1231" w:rsidRDefault="002D7004" w:rsidP="00EB6A62">
      <w:pPr>
        <w:jc w:val="both"/>
      </w:pPr>
      <w:r>
        <w:t xml:space="preserve">For the targeted bandwidth, </w:t>
      </w:r>
      <w:r w:rsidR="007D1231">
        <w:t>3</w:t>
      </w:r>
      <w:r w:rsidR="006F04C9">
        <w:t>0 and 60 KHz</w:t>
      </w:r>
      <w:r w:rsidR="007D1231">
        <w:t xml:space="preserve"> might be possible candidates for this frequency range. Since it will be difficult to agree within RAN4 on a given SCS till RAN4#112 (i.e., RAN4 target deadline for 7GHz parameters), it is proposed to mention the dependency of signal bandwidth on the SCS and number of RBs. ,</w:t>
      </w:r>
    </w:p>
    <w:p w14:paraId="07862EBF" w14:textId="797D0ED2" w:rsidR="006955F4" w:rsidRPr="00337758" w:rsidRDefault="00F076B6" w:rsidP="00EB6A62">
      <w:pPr>
        <w:jc w:val="both"/>
        <w:rPr>
          <w:b/>
          <w:bCs/>
        </w:rPr>
      </w:pPr>
      <w:r w:rsidRPr="00F076B6">
        <w:rPr>
          <w:b/>
          <w:bCs/>
          <w:u w:val="single"/>
        </w:rPr>
        <w:t>Proposal 3</w:t>
      </w:r>
      <w:r w:rsidR="006955F4" w:rsidRPr="00915421">
        <w:rPr>
          <w:b/>
          <w:bCs/>
        </w:rPr>
        <w:t xml:space="preserve">: </w:t>
      </w:r>
      <w:r w:rsidR="0030399D">
        <w:rPr>
          <w:b/>
          <w:bCs/>
        </w:rPr>
        <w:t xml:space="preserve">As signal bandwidth depends on </w:t>
      </w:r>
      <w:r w:rsidR="000B3542">
        <w:rPr>
          <w:b/>
          <w:bCs/>
        </w:rPr>
        <w:t xml:space="preserve">CHBW and SCS, </w:t>
      </w:r>
      <w:r w:rsidR="007D1231">
        <w:rPr>
          <w:b/>
          <w:bCs/>
        </w:rPr>
        <w:t xml:space="preserve">no need to specify a fixed signal bandwidth but rather mention its dependency on SCS and number of RBs. </w:t>
      </w:r>
    </w:p>
    <w:p w14:paraId="2E988D4C" w14:textId="320838C2" w:rsidR="00FF6EC9" w:rsidRDefault="00FF6EC9" w:rsidP="00EB6A62">
      <w:pPr>
        <w:pStyle w:val="Heading2"/>
        <w:jc w:val="both"/>
      </w:pPr>
      <w:r>
        <w:t>2.</w:t>
      </w:r>
      <w:r w:rsidR="007D1231">
        <w:t>2</w:t>
      </w:r>
      <w:r>
        <w:tab/>
        <w:t>BS parameters</w:t>
      </w:r>
    </w:p>
    <w:p w14:paraId="093B7706" w14:textId="599FCA2E" w:rsidR="00DF6563" w:rsidRPr="009C5EBE" w:rsidRDefault="00D76887" w:rsidP="00DF6563">
      <w:pPr>
        <w:jc w:val="both"/>
      </w:pPr>
      <w:r>
        <w:t xml:space="preserve">For the BS AAS parameters, </w:t>
      </w:r>
      <w:r w:rsidR="00860E1B">
        <w:t>the number of elements considered for the 44</w:t>
      </w:r>
      <w:r w:rsidR="005A5490">
        <w:t xml:space="preserve">00 </w:t>
      </w:r>
      <w:r w:rsidR="00860E1B">
        <w:t>-</w:t>
      </w:r>
      <w:r w:rsidR="005A5490">
        <w:t xml:space="preserve"> </w:t>
      </w:r>
      <w:r w:rsidR="00860E1B">
        <w:t>48</w:t>
      </w:r>
      <w:r w:rsidR="005A5490">
        <w:t>00</w:t>
      </w:r>
      <w:r w:rsidR="00860E1B">
        <w:t xml:space="preserve"> </w:t>
      </w:r>
      <w:r w:rsidR="005A5490">
        <w:t>M</w:t>
      </w:r>
      <w:r w:rsidR="00860E1B">
        <w:t xml:space="preserve">Hz is based on </w:t>
      </w:r>
      <w:r w:rsidR="00C93632">
        <w:rPr>
          <w:lang w:val="en-US"/>
        </w:rPr>
        <w:t xml:space="preserve">TR 38.803, subclause 5.2.3.2.4, where the total number of antenna elements </w:t>
      </w:r>
      <w:r w:rsidR="00AD47F0">
        <w:rPr>
          <w:lang w:val="en-US"/>
        </w:rPr>
        <w:t xml:space="preserve">for macro suburban and macro urban </w:t>
      </w:r>
      <w:r w:rsidR="00C93632">
        <w:rPr>
          <w:lang w:val="en-US"/>
        </w:rPr>
        <w:t xml:space="preserve">is </w:t>
      </w:r>
      <w:r w:rsidR="005A68EB">
        <w:rPr>
          <w:lang w:val="en-US"/>
        </w:rPr>
        <w:t xml:space="preserve">set to be 96 elements (4x8 subarrays with 3 elements per subarray). </w:t>
      </w:r>
      <w:r w:rsidR="00B46944">
        <w:rPr>
          <w:lang w:val="en-US"/>
        </w:rPr>
        <w:t xml:space="preserve">Assuming </w:t>
      </w:r>
      <w:r w:rsidR="00847821">
        <w:rPr>
          <w:lang w:val="en-US"/>
        </w:rPr>
        <w:t>the</w:t>
      </w:r>
      <w:r w:rsidR="00B46944">
        <w:rPr>
          <w:lang w:val="en-US"/>
        </w:rPr>
        <w:t xml:space="preserve"> same coverage metrics for the </w:t>
      </w:r>
      <w:r w:rsidR="00DF6563">
        <w:rPr>
          <w:lang w:val="en-US"/>
        </w:rPr>
        <w:t>14800</w:t>
      </w:r>
      <w:r w:rsidR="00B46944" w:rsidRPr="00B46944">
        <w:rPr>
          <w:lang w:val="en-US"/>
        </w:rPr>
        <w:t xml:space="preserve"> - </w:t>
      </w:r>
      <w:r w:rsidR="00DF6563">
        <w:rPr>
          <w:lang w:val="en-US"/>
        </w:rPr>
        <w:t>15350</w:t>
      </w:r>
      <w:r w:rsidR="00B46944" w:rsidRPr="00B46944">
        <w:rPr>
          <w:lang w:val="en-US"/>
        </w:rPr>
        <w:t xml:space="preserve"> MHz frequency range</w:t>
      </w:r>
      <w:r w:rsidR="00B46944">
        <w:rPr>
          <w:lang w:val="en-US"/>
        </w:rPr>
        <w:t xml:space="preserve"> as FR1 deployments</w:t>
      </w:r>
      <w:r w:rsidR="00845BA2">
        <w:rPr>
          <w:lang w:val="en-US"/>
        </w:rPr>
        <w:t xml:space="preserve"> apply</w:t>
      </w:r>
      <w:r w:rsidR="00B46944">
        <w:rPr>
          <w:lang w:val="en-US"/>
        </w:rPr>
        <w:t xml:space="preserve">, </w:t>
      </w:r>
      <w:r w:rsidR="00845BA2">
        <w:rPr>
          <w:lang w:val="en-US"/>
        </w:rPr>
        <w:t xml:space="preserve">it is anticipated </w:t>
      </w:r>
      <w:r w:rsidR="00EC2208">
        <w:rPr>
          <w:lang w:val="en-US"/>
        </w:rPr>
        <w:t xml:space="preserve">that the number of antenna elements scale four times with </w:t>
      </w:r>
      <w:r w:rsidR="00E31C49">
        <w:rPr>
          <w:lang w:val="en-US"/>
        </w:rPr>
        <w:t>doubling</w:t>
      </w:r>
      <w:r w:rsidR="00EC2208">
        <w:rPr>
          <w:lang w:val="en-US"/>
        </w:rPr>
        <w:t xml:space="preserve"> the frequency</w:t>
      </w:r>
      <w:r w:rsidR="00DF6563">
        <w:t xml:space="preserve">. 192 elements are typically considered for FR1 deployments, while discussions in the 7125 – 8400 MHz frequency range are in the ballpark of 384 antenna elements. To maintain the same physical area of the antenna array in the 14800 – 15350 MHz frequency range, the number of elements is expected to be larger than 1k elements. </w:t>
      </w:r>
      <w:r w:rsidR="00DF6563" w:rsidRPr="0F4A4BAB">
        <w:rPr>
          <w:lang w:val="en-US"/>
        </w:rPr>
        <w:t xml:space="preserve">Accordingly, RAN4 </w:t>
      </w:r>
      <w:r w:rsidR="00DF6563">
        <w:rPr>
          <w:lang w:val="en-US"/>
        </w:rPr>
        <w:t xml:space="preserve">will need to </w:t>
      </w:r>
      <w:r w:rsidR="00854EC3">
        <w:rPr>
          <w:lang w:val="en-US"/>
        </w:rPr>
        <w:t>study</w:t>
      </w:r>
      <w:r w:rsidR="00DF6563">
        <w:rPr>
          <w:lang w:val="en-US"/>
        </w:rPr>
        <w:t xml:space="preserve"> the feasibility of having such number of antenna elements in that frequency range. </w:t>
      </w:r>
      <w:r w:rsidR="00DF6563" w:rsidRPr="0F4A4BAB">
        <w:rPr>
          <w:lang w:val="en-US"/>
        </w:rPr>
        <w:t xml:space="preserve"> </w:t>
      </w:r>
    </w:p>
    <w:p w14:paraId="096BB620" w14:textId="36113502" w:rsidR="00D76887" w:rsidRDefault="00297A8F" w:rsidP="00EB6A62">
      <w:pPr>
        <w:jc w:val="both"/>
        <w:rPr>
          <w:b/>
          <w:bCs/>
        </w:rPr>
      </w:pPr>
      <w:r w:rsidRPr="00AC7669">
        <w:rPr>
          <w:b/>
          <w:bCs/>
          <w:u w:val="single"/>
        </w:rPr>
        <w:t>Proposal</w:t>
      </w:r>
      <w:r w:rsidR="009E4743">
        <w:rPr>
          <w:b/>
          <w:bCs/>
          <w:u w:val="single"/>
        </w:rPr>
        <w:t xml:space="preserve"> </w:t>
      </w:r>
      <w:r w:rsidR="005B4264">
        <w:rPr>
          <w:b/>
          <w:bCs/>
          <w:u w:val="single"/>
        </w:rPr>
        <w:t>4</w:t>
      </w:r>
      <w:r w:rsidRPr="00297A8F">
        <w:rPr>
          <w:b/>
          <w:bCs/>
        </w:rPr>
        <w:t xml:space="preserve">: RAN4 to </w:t>
      </w:r>
      <w:r>
        <w:rPr>
          <w:b/>
          <w:bCs/>
        </w:rPr>
        <w:t xml:space="preserve">study </w:t>
      </w:r>
      <w:r w:rsidRPr="00297A8F">
        <w:rPr>
          <w:b/>
          <w:bCs/>
        </w:rPr>
        <w:t xml:space="preserve">the </w:t>
      </w:r>
      <w:r w:rsidR="00BC0D74">
        <w:rPr>
          <w:b/>
          <w:bCs/>
        </w:rPr>
        <w:t xml:space="preserve">feasibility of employing </w:t>
      </w:r>
      <w:r w:rsidR="002D7FEC">
        <w:rPr>
          <w:b/>
          <w:bCs/>
        </w:rPr>
        <w:t>large</w:t>
      </w:r>
      <w:r w:rsidR="00BC0D74">
        <w:rPr>
          <w:b/>
          <w:bCs/>
        </w:rPr>
        <w:t xml:space="preserve"> number of antenna </w:t>
      </w:r>
      <w:r w:rsidR="00E64234">
        <w:rPr>
          <w:b/>
          <w:bCs/>
        </w:rPr>
        <w:t>elements</w:t>
      </w:r>
      <w:r w:rsidR="002D7FEC">
        <w:rPr>
          <w:b/>
          <w:bCs/>
        </w:rPr>
        <w:t xml:space="preserve"> (i.e. &gt;1k elements)</w:t>
      </w:r>
      <w:r w:rsidR="00E64234">
        <w:rPr>
          <w:b/>
          <w:bCs/>
        </w:rPr>
        <w:t xml:space="preserve"> </w:t>
      </w:r>
      <w:r w:rsidR="002D7FEC">
        <w:rPr>
          <w:b/>
          <w:bCs/>
        </w:rPr>
        <w:t>at</w:t>
      </w:r>
      <w:r w:rsidR="00E64234">
        <w:rPr>
          <w:b/>
          <w:bCs/>
        </w:rPr>
        <w:t xml:space="preserve"> the BS</w:t>
      </w:r>
      <w:r w:rsidR="00BC0D74">
        <w:rPr>
          <w:b/>
          <w:bCs/>
        </w:rPr>
        <w:t xml:space="preserve">. </w:t>
      </w:r>
    </w:p>
    <w:p w14:paraId="0B177E00" w14:textId="52F74FB4" w:rsidR="00FF6EC9" w:rsidRDefault="00FF6EC9" w:rsidP="00EB6A62">
      <w:pPr>
        <w:pStyle w:val="Heading2"/>
        <w:jc w:val="both"/>
      </w:pPr>
      <w:r>
        <w:t>2.</w:t>
      </w:r>
      <w:r w:rsidR="007D1231">
        <w:t>3</w:t>
      </w:r>
      <w:r>
        <w:tab/>
        <w:t xml:space="preserve">UE parameters </w:t>
      </w:r>
    </w:p>
    <w:p w14:paraId="0ED573C2" w14:textId="19B83043" w:rsidR="001D538E" w:rsidRPr="003465F6" w:rsidRDefault="009E4743" w:rsidP="00EB6A62">
      <w:pPr>
        <w:pStyle w:val="Heading3"/>
        <w:jc w:val="both"/>
      </w:pPr>
      <w:r>
        <w:t>2.3.1</w:t>
      </w:r>
      <w:r>
        <w:tab/>
      </w:r>
      <w:r w:rsidR="001D538E" w:rsidRPr="003465F6">
        <w:t>Maximum Output power</w:t>
      </w:r>
    </w:p>
    <w:p w14:paraId="2A748C29" w14:textId="77777777" w:rsidR="00354AF8" w:rsidRDefault="009570AD" w:rsidP="00EB6A62">
      <w:pPr>
        <w:jc w:val="both"/>
      </w:pPr>
      <w:r>
        <w:t>PC3 was assumed during Rel-17 work on 7GHz</w:t>
      </w:r>
      <w:r w:rsidR="00476EB9">
        <w:t xml:space="preserve"> and 10GHz</w:t>
      </w:r>
      <w:r>
        <w:t xml:space="preserve"> as captured in [</w:t>
      </w:r>
      <w:r w:rsidR="007D1231">
        <w:t>3</w:t>
      </w:r>
      <w:r>
        <w:t xml:space="preserve">]. On the other hand, </w:t>
      </w:r>
      <w:r w:rsidR="007D1231">
        <w:t xml:space="preserve">n104 considers both PC2 and PC3. Additionally, </w:t>
      </w:r>
      <w:r>
        <w:t xml:space="preserve">3GPP has studied </w:t>
      </w:r>
      <w:r w:rsidR="002F21B4">
        <w:t xml:space="preserve">high power UEs during Rel-17 covering </w:t>
      </w:r>
      <w:r w:rsidRPr="009570AD">
        <w:t>high-power UE (power class 1.5) operation in NR bands n77 and n78 (RP-202912), high power UE for NR TDD intra-band Carrier Aggregation in frequency range FR1 (RP-221774), and high-power UE operation for fixed-wireless/vehicle-mounted use cases in LTE bands and NR bands (RP-221795).</w:t>
      </w:r>
      <w:r w:rsidR="002F21B4">
        <w:t xml:space="preserve"> </w:t>
      </w:r>
      <w:r w:rsidR="00B814D6">
        <w:t xml:space="preserve">To capture the trend of higher UE </w:t>
      </w:r>
      <w:r w:rsidR="00476EB9">
        <w:t>power classes, envisaged for new applications and deployment use cases</w:t>
      </w:r>
      <w:r w:rsidR="00B814D6">
        <w:t xml:space="preserve">, we propose to </w:t>
      </w:r>
      <w:r w:rsidR="00476EB9">
        <w:t>communicate with WP5D</w:t>
      </w:r>
      <w:r w:rsidR="00B814D6">
        <w:t xml:space="preserve"> PC2 (i.e., 26 dBm) as the </w:t>
      </w:r>
      <w:r w:rsidR="00363980">
        <w:t xml:space="preserve">UE </w:t>
      </w:r>
      <w:r w:rsidR="00B814D6">
        <w:t xml:space="preserve">maximum output power. </w:t>
      </w:r>
    </w:p>
    <w:p w14:paraId="0EAB182D" w14:textId="7162B3AB" w:rsidR="000B3A88" w:rsidRDefault="000B3A88" w:rsidP="00EB6A62">
      <w:pPr>
        <w:jc w:val="both"/>
        <w:rPr>
          <w:b/>
          <w:bCs/>
        </w:rPr>
      </w:pPr>
      <w:r w:rsidRPr="003465F6">
        <w:rPr>
          <w:b/>
          <w:bCs/>
          <w:u w:val="single"/>
        </w:rPr>
        <w:t>Proposal</w:t>
      </w:r>
      <w:r w:rsidR="007D250F">
        <w:rPr>
          <w:b/>
          <w:bCs/>
          <w:u w:val="single"/>
        </w:rPr>
        <w:t xml:space="preserve"> </w:t>
      </w:r>
      <w:r w:rsidR="005B4264">
        <w:rPr>
          <w:b/>
          <w:bCs/>
          <w:u w:val="single"/>
        </w:rPr>
        <w:t>5</w:t>
      </w:r>
      <w:r w:rsidRPr="003465F6">
        <w:rPr>
          <w:b/>
          <w:bCs/>
        </w:rPr>
        <w:t xml:space="preserve">: </w:t>
      </w:r>
      <w:r w:rsidR="0035113A">
        <w:rPr>
          <w:b/>
          <w:bCs/>
        </w:rPr>
        <w:t xml:space="preserve">RAN4 to </w:t>
      </w:r>
      <w:r w:rsidR="00161DFB">
        <w:rPr>
          <w:b/>
          <w:bCs/>
        </w:rPr>
        <w:t>agree on 26 dBm (i.e., PC3) as UE maximum output power</w:t>
      </w:r>
      <w:r w:rsidR="005B4264">
        <w:rPr>
          <w:b/>
          <w:bCs/>
        </w:rPr>
        <w:t xml:space="preserve"> as a baseline</w:t>
      </w:r>
      <w:r w:rsidR="00161DFB">
        <w:rPr>
          <w:b/>
          <w:bCs/>
        </w:rPr>
        <w:t xml:space="preserve">. </w:t>
      </w:r>
    </w:p>
    <w:p w14:paraId="03F6315B" w14:textId="222D8D05" w:rsidR="00C12DB0" w:rsidRDefault="007D250F" w:rsidP="00EB6A62">
      <w:pPr>
        <w:pStyle w:val="Heading3"/>
        <w:jc w:val="both"/>
      </w:pPr>
      <w:r>
        <w:t>2.3.2</w:t>
      </w:r>
      <w:r>
        <w:tab/>
      </w:r>
      <w:r w:rsidR="00C12DB0">
        <w:t>UE power dynamic range</w:t>
      </w:r>
    </w:p>
    <w:p w14:paraId="44A2807D" w14:textId="6297D37C" w:rsidR="00C12DB0" w:rsidRDefault="00D668F0" w:rsidP="00EB6A62">
      <w:pPr>
        <w:jc w:val="both"/>
      </w:pPr>
      <w:r>
        <w:t xml:space="preserve">To derive the power dynamic range, RAN4 needs to agree on the UE minimum and maximum output power. We propose to reuse FR1 UE minimum output power of -33 dBm while 26 dBm as maximum output power. Accordingly, we propose 59 dBm for the UE power dynamic range. </w:t>
      </w:r>
    </w:p>
    <w:p w14:paraId="639B2BF7" w14:textId="74CFB61A" w:rsidR="00C12DB0" w:rsidRPr="00037ABA" w:rsidRDefault="00D668F0" w:rsidP="00EB6A62">
      <w:pPr>
        <w:jc w:val="both"/>
        <w:rPr>
          <w:b/>
          <w:bCs/>
        </w:rPr>
      </w:pPr>
      <w:r w:rsidRPr="003465F6">
        <w:rPr>
          <w:b/>
          <w:bCs/>
          <w:u w:val="single"/>
        </w:rPr>
        <w:t>Proposal</w:t>
      </w:r>
      <w:r w:rsidR="00FC26A7">
        <w:rPr>
          <w:b/>
          <w:bCs/>
          <w:u w:val="single"/>
        </w:rPr>
        <w:t xml:space="preserve"> </w:t>
      </w:r>
      <w:r w:rsidR="005B4264">
        <w:rPr>
          <w:b/>
          <w:bCs/>
          <w:u w:val="single"/>
        </w:rPr>
        <w:t>6</w:t>
      </w:r>
      <w:r w:rsidRPr="003465F6">
        <w:rPr>
          <w:b/>
          <w:bCs/>
        </w:rPr>
        <w:t xml:space="preserve">: </w:t>
      </w:r>
      <w:r>
        <w:rPr>
          <w:b/>
          <w:bCs/>
        </w:rPr>
        <w:t xml:space="preserve">RAN4 to agree on 59 dBm as UE power dynamic range. </w:t>
      </w:r>
    </w:p>
    <w:p w14:paraId="45DCDC70" w14:textId="7BFA0B4E" w:rsidR="00161DFB" w:rsidRDefault="00FC26A7" w:rsidP="00EB6A62">
      <w:pPr>
        <w:pStyle w:val="Heading3"/>
        <w:jc w:val="both"/>
      </w:pPr>
      <w:r>
        <w:t>2.3.3</w:t>
      </w:r>
      <w:r>
        <w:tab/>
      </w:r>
      <w:r w:rsidR="00161DFB">
        <w:t>UE ACLR</w:t>
      </w:r>
      <w:r w:rsidR="00354AF8">
        <w:t>/ACS</w:t>
      </w:r>
    </w:p>
    <w:p w14:paraId="7558D176" w14:textId="0A968144" w:rsidR="00F974E7" w:rsidRDefault="00354AF8" w:rsidP="00EB6A62">
      <w:pPr>
        <w:jc w:val="both"/>
      </w:pPr>
      <w:r>
        <w:t xml:space="preserve">The UE ACLR and ACS should be derived based on the outcome of the adjacent channel coexistence. </w:t>
      </w:r>
    </w:p>
    <w:p w14:paraId="33AB0070" w14:textId="039C383A" w:rsidR="00812BDE" w:rsidRPr="006F6794" w:rsidRDefault="00812BDE" w:rsidP="00EB6A62">
      <w:pPr>
        <w:jc w:val="both"/>
        <w:rPr>
          <w:b/>
          <w:bCs/>
        </w:rPr>
      </w:pPr>
      <w:r w:rsidRPr="00AC7669">
        <w:rPr>
          <w:b/>
          <w:bCs/>
          <w:u w:val="single"/>
        </w:rPr>
        <w:t>Proposal</w:t>
      </w:r>
      <w:r w:rsidR="00695DCF">
        <w:rPr>
          <w:b/>
          <w:bCs/>
          <w:u w:val="single"/>
        </w:rPr>
        <w:t xml:space="preserve"> </w:t>
      </w:r>
      <w:r w:rsidR="005B4264">
        <w:rPr>
          <w:b/>
          <w:bCs/>
          <w:u w:val="single"/>
        </w:rPr>
        <w:t>7</w:t>
      </w:r>
      <w:r w:rsidRPr="00BE6359">
        <w:rPr>
          <w:b/>
          <w:bCs/>
        </w:rPr>
        <w:t xml:space="preserve">: </w:t>
      </w:r>
      <w:r>
        <w:rPr>
          <w:b/>
          <w:bCs/>
        </w:rPr>
        <w:t>For UE ACLR</w:t>
      </w:r>
      <w:r w:rsidR="00354AF8">
        <w:rPr>
          <w:b/>
          <w:bCs/>
        </w:rPr>
        <w:t xml:space="preserve"> and ACS</w:t>
      </w:r>
      <w:r>
        <w:rPr>
          <w:b/>
          <w:bCs/>
        </w:rPr>
        <w:t xml:space="preserve">, RAN4 to </w:t>
      </w:r>
      <w:r w:rsidR="005A146B">
        <w:rPr>
          <w:b/>
          <w:bCs/>
        </w:rPr>
        <w:t xml:space="preserve">decide on the UE ACLR and ACS based on the outcome of the adjacent channel coexistence study. </w:t>
      </w:r>
    </w:p>
    <w:p w14:paraId="547BA9DD" w14:textId="29E165A1" w:rsidR="008A77DF" w:rsidRDefault="00695DCF" w:rsidP="005A146B">
      <w:pPr>
        <w:pStyle w:val="Heading3"/>
        <w:jc w:val="both"/>
      </w:pPr>
      <w:r>
        <w:lastRenderedPageBreak/>
        <w:t xml:space="preserve">2.3.4 </w:t>
      </w:r>
      <w:r>
        <w:tab/>
      </w:r>
      <w:r w:rsidR="006F6794">
        <w:t xml:space="preserve">UE </w:t>
      </w:r>
      <w:r w:rsidR="005A146B">
        <w:t xml:space="preserve">beamforming </w:t>
      </w:r>
    </w:p>
    <w:p w14:paraId="7E2900E9" w14:textId="77777777" w:rsidR="008E58C6" w:rsidRDefault="008E58C6" w:rsidP="008E58C6">
      <w:r>
        <w:t>In [2], no UE beamforming was considered and an isotropic antenna with 0 dBi was assumed for 7GHz and 10 GHz. In addition, we have the following captured in [3] regarding the UE beamforming:</w:t>
      </w:r>
    </w:p>
    <w:tbl>
      <w:tblPr>
        <w:tblStyle w:val="TableGrid"/>
        <w:tblW w:w="0" w:type="auto"/>
        <w:tblLook w:val="04A0" w:firstRow="1" w:lastRow="0" w:firstColumn="1" w:lastColumn="0" w:noHBand="0" w:noVBand="1"/>
      </w:tblPr>
      <w:tblGrid>
        <w:gridCol w:w="9622"/>
      </w:tblGrid>
      <w:tr w:rsidR="008E58C6" w14:paraId="6851FD4E" w14:textId="77777777" w:rsidTr="00DA7AED">
        <w:tc>
          <w:tcPr>
            <w:tcW w:w="9622" w:type="dxa"/>
          </w:tcPr>
          <w:p w14:paraId="0614D592" w14:textId="77777777" w:rsidR="008E58C6" w:rsidRDefault="008E58C6" w:rsidP="00DA7AED">
            <w:r w:rsidRPr="000078FE">
              <w:rPr>
                <w:i/>
                <w:iCs/>
              </w:rPr>
              <w:t xml:space="preserve">It is important to note that for frequencies close to 24 GHz the antenna array dimensions are </w:t>
            </w:r>
            <w:proofErr w:type="gramStart"/>
            <w:r w:rsidRPr="000078FE">
              <w:rPr>
                <w:i/>
                <w:iCs/>
              </w:rPr>
              <w:t>similar to</w:t>
            </w:r>
            <w:proofErr w:type="gramEnd"/>
            <w:r w:rsidRPr="000078FE">
              <w:rPr>
                <w:i/>
                <w:iCs/>
              </w:rPr>
              <w:t xml:space="preserve"> the FR2 (24.25 – 52.6 GHz) array dimensions: especially if the UE is a multi-band design which co-locates 28 GHz and 39 GHz antenna arrays in the same volume.  Thus, in a handheld UE supporting both FR2 and 7 – 24 GHz, an antenna array for the upper frequencies in the 7 – 24 GHz range competes for physical space in a handset with an FR2 antenna array, and it is not likely that UE FR2 coverage performance can be traded off to support beamforming arrays in the 7 – 24 GHz frequency range… Thus, from the perspective of potential array size, a radiated requirement with an antenna beamforming assumption may be challenging in handset form factor.</w:t>
            </w:r>
          </w:p>
        </w:tc>
      </w:tr>
    </w:tbl>
    <w:p w14:paraId="2C6F8D2D" w14:textId="77777777" w:rsidR="008E58C6" w:rsidRDefault="008E58C6" w:rsidP="008E58C6"/>
    <w:p w14:paraId="4E87CA25" w14:textId="77777777" w:rsidR="008E58C6" w:rsidRDefault="008E58C6" w:rsidP="008E58C6">
      <w:r>
        <w:t xml:space="preserve">However, there has been development on the UE antenna technology, and it is expected that the above conclusions be revisited within the scope of providing a reply to WP5D on the 15 GHz frequency range. Another element that needs to be considered is the impact of UE beamforming on the derivation of the ACLR/ACS requirements for BS and UE. With UE beamforming in place, coexistence between adjacent networks is more favourable since the UE added directivity components leads to higher received signal power. However, this comes with the cost of design and complexity at the UE side. </w:t>
      </w:r>
    </w:p>
    <w:p w14:paraId="197563F5" w14:textId="10048D41" w:rsidR="005A146B" w:rsidRPr="008E58C6" w:rsidRDefault="008E58C6" w:rsidP="005A146B">
      <w:pPr>
        <w:rPr>
          <w:b/>
          <w:bCs/>
        </w:rPr>
      </w:pPr>
      <w:r w:rsidRPr="00AC7669">
        <w:rPr>
          <w:b/>
          <w:bCs/>
          <w:u w:val="single"/>
        </w:rPr>
        <w:t xml:space="preserve">Proposal </w:t>
      </w:r>
      <w:r w:rsidR="005B4264">
        <w:rPr>
          <w:b/>
          <w:bCs/>
          <w:u w:val="single"/>
        </w:rPr>
        <w:t>8</w:t>
      </w:r>
      <w:r w:rsidRPr="00BE6359">
        <w:rPr>
          <w:b/>
          <w:bCs/>
        </w:rPr>
        <w:t>:</w:t>
      </w:r>
      <w:r>
        <w:rPr>
          <w:b/>
          <w:bCs/>
        </w:rPr>
        <w:t xml:space="preserve"> RAN4 to study the feasibility of UE beamforming</w:t>
      </w:r>
      <w:r w:rsidRPr="00BE6359">
        <w:rPr>
          <w:b/>
          <w:bCs/>
        </w:rPr>
        <w:t xml:space="preserve">. </w:t>
      </w:r>
    </w:p>
    <w:p w14:paraId="6E12F344" w14:textId="77777777" w:rsidR="00993E9B" w:rsidRDefault="00993E9B" w:rsidP="00EB6A62">
      <w:pPr>
        <w:pStyle w:val="Heading1"/>
        <w:ind w:left="0" w:firstLine="0"/>
        <w:jc w:val="both"/>
      </w:pPr>
      <w:r>
        <w:t>Conclusion</w:t>
      </w:r>
    </w:p>
    <w:p w14:paraId="680B5DC1" w14:textId="425D70AF" w:rsidR="00993E9B" w:rsidRDefault="004A75F9" w:rsidP="00EB6A62">
      <w:pPr>
        <w:jc w:val="both"/>
      </w:pPr>
      <w:r>
        <w:t xml:space="preserve">In this paper we have shared our views on the RF parameters for </w:t>
      </w:r>
      <w:r w:rsidR="005B4264">
        <w:t>14800</w:t>
      </w:r>
      <w:r>
        <w:t xml:space="preserve"> – </w:t>
      </w:r>
      <w:r w:rsidR="005B4264">
        <w:t>15350 MHz</w:t>
      </w:r>
      <w:r>
        <w:t xml:space="preserve"> Frequency range. Our observations and proposals can be summarized for that frequency range as follows:</w:t>
      </w:r>
    </w:p>
    <w:p w14:paraId="4FF06AF1" w14:textId="77777777" w:rsidR="005B4264" w:rsidRPr="00E24F64" w:rsidRDefault="005B4264" w:rsidP="005B4264">
      <w:pPr>
        <w:jc w:val="both"/>
        <w:rPr>
          <w:b/>
          <w:bCs/>
          <w:lang w:eastAsia="ja-JP"/>
        </w:rPr>
      </w:pPr>
      <w:r w:rsidRPr="009E4743">
        <w:rPr>
          <w:b/>
          <w:bCs/>
          <w:u w:val="single"/>
          <w:lang w:eastAsia="ja-JP"/>
        </w:rPr>
        <w:t>Observation 1</w:t>
      </w:r>
      <w:r w:rsidRPr="00E24F64">
        <w:rPr>
          <w:b/>
          <w:bCs/>
          <w:lang w:eastAsia="ja-JP"/>
        </w:rPr>
        <w:t xml:space="preserve">: 3GPP has been studying flexible duplexing (i.e., SBFD) at the gNB in Rel-18 and Rel-19 and it is </w:t>
      </w:r>
      <w:r>
        <w:rPr>
          <w:b/>
          <w:bCs/>
          <w:lang w:eastAsia="ja-JP"/>
        </w:rPr>
        <w:t>desired</w:t>
      </w:r>
      <w:r w:rsidRPr="00E24F64">
        <w:rPr>
          <w:b/>
          <w:bCs/>
          <w:lang w:eastAsia="ja-JP"/>
        </w:rPr>
        <w:t xml:space="preserve"> to document such </w:t>
      </w:r>
      <w:r>
        <w:rPr>
          <w:b/>
          <w:bCs/>
          <w:lang w:eastAsia="ja-JP"/>
        </w:rPr>
        <w:t>progress</w:t>
      </w:r>
      <w:r w:rsidRPr="00E24F64">
        <w:rPr>
          <w:b/>
          <w:bCs/>
          <w:lang w:eastAsia="ja-JP"/>
        </w:rPr>
        <w:t xml:space="preserve"> in this SI</w:t>
      </w:r>
      <w:r>
        <w:rPr>
          <w:b/>
          <w:bCs/>
          <w:lang w:eastAsia="ja-JP"/>
        </w:rPr>
        <w:t xml:space="preserve"> TR (i.e., TR </w:t>
      </w:r>
      <w:r w:rsidRPr="00B820D4">
        <w:rPr>
          <w:b/>
          <w:bCs/>
          <w:lang w:eastAsia="ja-JP"/>
        </w:rPr>
        <w:t>38.922</w:t>
      </w:r>
      <w:r>
        <w:rPr>
          <w:b/>
          <w:bCs/>
          <w:lang w:eastAsia="ja-JP"/>
        </w:rPr>
        <w:t>)</w:t>
      </w:r>
      <w:r w:rsidRPr="00E24F64">
        <w:rPr>
          <w:b/>
          <w:bCs/>
          <w:lang w:eastAsia="ja-JP"/>
        </w:rPr>
        <w:t xml:space="preserve">. </w:t>
      </w:r>
    </w:p>
    <w:p w14:paraId="75727868" w14:textId="0D9446C5" w:rsidR="005B4264" w:rsidRPr="004172AD" w:rsidRDefault="004172AD" w:rsidP="005B4264">
      <w:pPr>
        <w:jc w:val="both"/>
        <w:rPr>
          <w:b/>
          <w:bCs/>
          <w:lang w:eastAsia="ja-JP"/>
        </w:rPr>
      </w:pPr>
      <w:r w:rsidRPr="009E4743">
        <w:rPr>
          <w:b/>
          <w:bCs/>
          <w:u w:val="single"/>
          <w:lang w:eastAsia="ja-JP"/>
        </w:rPr>
        <w:t>Proposal 1</w:t>
      </w:r>
      <w:r w:rsidRPr="0016762A">
        <w:rPr>
          <w:b/>
          <w:bCs/>
          <w:lang w:eastAsia="ja-JP"/>
        </w:rPr>
        <w:t xml:space="preserve">: RAN4 to agree on TDD as </w:t>
      </w:r>
      <w:r>
        <w:rPr>
          <w:b/>
          <w:bCs/>
          <w:lang w:eastAsia="ja-JP"/>
        </w:rPr>
        <w:t xml:space="preserve">the current </w:t>
      </w:r>
      <w:r w:rsidRPr="0016762A">
        <w:rPr>
          <w:b/>
          <w:bCs/>
          <w:lang w:eastAsia="ja-JP"/>
        </w:rPr>
        <w:t xml:space="preserve">duplexing </w:t>
      </w:r>
      <w:r>
        <w:rPr>
          <w:b/>
          <w:bCs/>
          <w:lang w:eastAsia="ja-JP"/>
        </w:rPr>
        <w:t xml:space="preserve">candidate </w:t>
      </w:r>
      <w:r w:rsidRPr="0016762A">
        <w:rPr>
          <w:b/>
          <w:bCs/>
          <w:lang w:eastAsia="ja-JP"/>
        </w:rPr>
        <w:t>for</w:t>
      </w:r>
      <w:r>
        <w:rPr>
          <w:b/>
          <w:bCs/>
          <w:lang w:eastAsia="ja-JP"/>
        </w:rPr>
        <w:t xml:space="preserve"> 14800 – 15350 </w:t>
      </w:r>
      <w:r w:rsidRPr="0016762A">
        <w:rPr>
          <w:b/>
          <w:bCs/>
          <w:lang w:eastAsia="ja-JP"/>
        </w:rPr>
        <w:t xml:space="preserve">MHz </w:t>
      </w:r>
      <w:r>
        <w:rPr>
          <w:b/>
          <w:bCs/>
          <w:lang w:eastAsia="ja-JP"/>
        </w:rPr>
        <w:t xml:space="preserve">frequency range </w:t>
      </w:r>
      <w:r w:rsidRPr="0016762A">
        <w:rPr>
          <w:b/>
          <w:bCs/>
          <w:lang w:eastAsia="ja-JP"/>
        </w:rPr>
        <w:t xml:space="preserve">and capture </w:t>
      </w:r>
      <w:r>
        <w:rPr>
          <w:b/>
          <w:bCs/>
          <w:lang w:eastAsia="ja-JP"/>
        </w:rPr>
        <w:t xml:space="preserve">more text on SBFD </w:t>
      </w:r>
      <w:r w:rsidRPr="0016762A">
        <w:rPr>
          <w:b/>
          <w:bCs/>
          <w:lang w:eastAsia="ja-JP"/>
        </w:rPr>
        <w:t xml:space="preserve">in </w:t>
      </w:r>
      <w:r>
        <w:rPr>
          <w:b/>
          <w:bCs/>
          <w:lang w:eastAsia="ja-JP"/>
        </w:rPr>
        <w:t>TR 38.922</w:t>
      </w:r>
      <w:r w:rsidRPr="0016762A">
        <w:rPr>
          <w:b/>
          <w:bCs/>
          <w:lang w:eastAsia="ja-JP"/>
        </w:rPr>
        <w:t xml:space="preserve">. </w:t>
      </w:r>
    </w:p>
    <w:p w14:paraId="3DEFA363" w14:textId="77777777" w:rsidR="005B4264" w:rsidRDefault="005B4264" w:rsidP="005B4264">
      <w:pPr>
        <w:jc w:val="both"/>
        <w:rPr>
          <w:b/>
          <w:bCs/>
        </w:rPr>
      </w:pPr>
      <w:r w:rsidRPr="00F076B6">
        <w:rPr>
          <w:b/>
          <w:bCs/>
          <w:u w:val="single"/>
        </w:rPr>
        <w:t xml:space="preserve">Proposal </w:t>
      </w:r>
      <w:r>
        <w:rPr>
          <w:b/>
          <w:bCs/>
          <w:u w:val="single"/>
        </w:rPr>
        <w:t>2</w:t>
      </w:r>
      <w:r w:rsidRPr="00915421">
        <w:rPr>
          <w:b/>
          <w:bCs/>
        </w:rPr>
        <w:t xml:space="preserve">: </w:t>
      </w:r>
      <w:r>
        <w:rPr>
          <w:b/>
          <w:bCs/>
        </w:rPr>
        <w:t xml:space="preserve">RAN4 to adopt 200MHz is a typical channel bandwidth. Other channel bandwidths should not be precluded at this stage.  </w:t>
      </w:r>
    </w:p>
    <w:p w14:paraId="158A3558" w14:textId="77777777" w:rsidR="005B4264" w:rsidRPr="00337758" w:rsidRDefault="005B4264" w:rsidP="005B4264">
      <w:pPr>
        <w:jc w:val="both"/>
        <w:rPr>
          <w:b/>
          <w:bCs/>
        </w:rPr>
      </w:pPr>
      <w:r w:rsidRPr="00F076B6">
        <w:rPr>
          <w:b/>
          <w:bCs/>
          <w:u w:val="single"/>
        </w:rPr>
        <w:t>Proposal 3</w:t>
      </w:r>
      <w:r w:rsidRPr="00915421">
        <w:rPr>
          <w:b/>
          <w:bCs/>
        </w:rPr>
        <w:t xml:space="preserve">: </w:t>
      </w:r>
      <w:r>
        <w:rPr>
          <w:b/>
          <w:bCs/>
        </w:rPr>
        <w:t xml:space="preserve">As signal bandwidth depends on CHBW and SCS, no need to specify a fixed signal bandwidth but rather mention its dependency on SCS and number of RBs. </w:t>
      </w:r>
    </w:p>
    <w:p w14:paraId="15A6D20C" w14:textId="77777777" w:rsidR="005B4264" w:rsidRDefault="005B4264" w:rsidP="005B4264">
      <w:pPr>
        <w:jc w:val="both"/>
        <w:rPr>
          <w:b/>
          <w:bCs/>
        </w:rPr>
      </w:pPr>
      <w:r w:rsidRPr="00AC7669">
        <w:rPr>
          <w:b/>
          <w:bCs/>
          <w:u w:val="single"/>
        </w:rPr>
        <w:t>Proposal</w:t>
      </w:r>
      <w:r>
        <w:rPr>
          <w:b/>
          <w:bCs/>
          <w:u w:val="single"/>
        </w:rPr>
        <w:t xml:space="preserve"> 4</w:t>
      </w:r>
      <w:r w:rsidRPr="00297A8F">
        <w:rPr>
          <w:b/>
          <w:bCs/>
        </w:rPr>
        <w:t xml:space="preserve">: RAN4 to </w:t>
      </w:r>
      <w:r>
        <w:rPr>
          <w:b/>
          <w:bCs/>
        </w:rPr>
        <w:t xml:space="preserve">study </w:t>
      </w:r>
      <w:r w:rsidRPr="00297A8F">
        <w:rPr>
          <w:b/>
          <w:bCs/>
        </w:rPr>
        <w:t xml:space="preserve">the </w:t>
      </w:r>
      <w:r>
        <w:rPr>
          <w:b/>
          <w:bCs/>
        </w:rPr>
        <w:t xml:space="preserve">feasibility of employing large number of antenna elements (i.e. &gt;1k elements) at the BS. </w:t>
      </w:r>
    </w:p>
    <w:p w14:paraId="09DDBBD1" w14:textId="49924BEB" w:rsidR="005B4264" w:rsidRDefault="005B4264" w:rsidP="005B4264">
      <w:pPr>
        <w:jc w:val="both"/>
        <w:rPr>
          <w:b/>
          <w:bCs/>
        </w:rPr>
      </w:pPr>
      <w:r w:rsidRPr="003465F6">
        <w:rPr>
          <w:b/>
          <w:bCs/>
          <w:u w:val="single"/>
        </w:rPr>
        <w:t>Proposal</w:t>
      </w:r>
      <w:r>
        <w:rPr>
          <w:b/>
          <w:bCs/>
          <w:u w:val="single"/>
        </w:rPr>
        <w:t xml:space="preserve"> 5</w:t>
      </w:r>
      <w:r w:rsidRPr="003465F6">
        <w:rPr>
          <w:b/>
          <w:bCs/>
        </w:rPr>
        <w:t xml:space="preserve">: </w:t>
      </w:r>
      <w:r>
        <w:rPr>
          <w:b/>
          <w:bCs/>
        </w:rPr>
        <w:t xml:space="preserve">RAN4 to agree on 26 dBm (i.e., PC3) as UE maximum output power as a baseline. </w:t>
      </w:r>
    </w:p>
    <w:p w14:paraId="57C2FF7F" w14:textId="429A2312" w:rsidR="005B4264" w:rsidRPr="00037ABA" w:rsidRDefault="005B4264" w:rsidP="005B4264">
      <w:pPr>
        <w:jc w:val="both"/>
        <w:rPr>
          <w:b/>
          <w:bCs/>
        </w:rPr>
      </w:pPr>
      <w:r w:rsidRPr="003465F6">
        <w:rPr>
          <w:b/>
          <w:bCs/>
          <w:u w:val="single"/>
        </w:rPr>
        <w:t>Proposal</w:t>
      </w:r>
      <w:r>
        <w:rPr>
          <w:b/>
          <w:bCs/>
          <w:u w:val="single"/>
        </w:rPr>
        <w:t xml:space="preserve"> 6</w:t>
      </w:r>
      <w:r w:rsidRPr="003465F6">
        <w:rPr>
          <w:b/>
          <w:bCs/>
        </w:rPr>
        <w:t xml:space="preserve">: </w:t>
      </w:r>
      <w:r>
        <w:rPr>
          <w:b/>
          <w:bCs/>
        </w:rPr>
        <w:t xml:space="preserve">RAN4 to agree on 59 dBm as UE power dynamic range. </w:t>
      </w:r>
    </w:p>
    <w:p w14:paraId="12AACDEE" w14:textId="77777777" w:rsidR="005B4264" w:rsidRPr="006F6794" w:rsidRDefault="005B4264" w:rsidP="005B4264">
      <w:pPr>
        <w:jc w:val="both"/>
        <w:rPr>
          <w:b/>
          <w:bCs/>
        </w:rPr>
      </w:pPr>
      <w:r w:rsidRPr="00AC7669">
        <w:rPr>
          <w:b/>
          <w:bCs/>
          <w:u w:val="single"/>
        </w:rPr>
        <w:t>Proposal</w:t>
      </w:r>
      <w:r>
        <w:rPr>
          <w:b/>
          <w:bCs/>
          <w:u w:val="single"/>
        </w:rPr>
        <w:t xml:space="preserve"> 7</w:t>
      </w:r>
      <w:r w:rsidRPr="00BE6359">
        <w:rPr>
          <w:b/>
          <w:bCs/>
        </w:rPr>
        <w:t xml:space="preserve">: </w:t>
      </w:r>
      <w:r>
        <w:rPr>
          <w:b/>
          <w:bCs/>
        </w:rPr>
        <w:t xml:space="preserve">For UE ACLR and ACS, RAN4 to decide on the UE ACLR and ACS based on the outcome of the adjacent channel coexistence study. </w:t>
      </w:r>
    </w:p>
    <w:p w14:paraId="5FD3083B" w14:textId="4338BA6A" w:rsidR="005B4264" w:rsidRPr="0016762A" w:rsidRDefault="005B4264" w:rsidP="005B4264">
      <w:pPr>
        <w:rPr>
          <w:b/>
          <w:bCs/>
        </w:rPr>
      </w:pPr>
      <w:r w:rsidRPr="00AC7669">
        <w:rPr>
          <w:b/>
          <w:bCs/>
          <w:u w:val="single"/>
        </w:rPr>
        <w:t xml:space="preserve">Proposal </w:t>
      </w:r>
      <w:r>
        <w:rPr>
          <w:b/>
          <w:bCs/>
          <w:u w:val="single"/>
        </w:rPr>
        <w:t>8</w:t>
      </w:r>
      <w:r w:rsidRPr="00BE6359">
        <w:rPr>
          <w:b/>
          <w:bCs/>
        </w:rPr>
        <w:t>:</w:t>
      </w:r>
      <w:r>
        <w:rPr>
          <w:b/>
          <w:bCs/>
        </w:rPr>
        <w:t xml:space="preserve"> RAN4 to study the feasibility of UE beamforming</w:t>
      </w:r>
      <w:r w:rsidRPr="00BE6359">
        <w:rPr>
          <w:b/>
          <w:bCs/>
        </w:rPr>
        <w:t xml:space="preserve">. </w:t>
      </w:r>
    </w:p>
    <w:p w14:paraId="17189E3E" w14:textId="77777777" w:rsidR="00993E9B" w:rsidRDefault="00993E9B" w:rsidP="00EB6A62">
      <w:pPr>
        <w:pStyle w:val="Heading1"/>
        <w:ind w:left="0" w:firstLine="0"/>
        <w:jc w:val="both"/>
      </w:pPr>
      <w:r>
        <w:t>Reference</w:t>
      </w:r>
    </w:p>
    <w:p w14:paraId="267B5DEF" w14:textId="77777777" w:rsidR="00993E9B" w:rsidRDefault="00993E9B" w:rsidP="00EB6A62">
      <w:pPr>
        <w:pStyle w:val="B1"/>
        <w:ind w:left="426"/>
        <w:jc w:val="both"/>
      </w:pPr>
      <w:r>
        <w:t>[1]</w:t>
      </w:r>
      <w:r>
        <w:tab/>
      </w:r>
      <w:r w:rsidRPr="00AF5C4B">
        <w:t>RP-240787</w:t>
      </w:r>
      <w:r>
        <w:t>, “</w:t>
      </w:r>
      <w:r w:rsidRPr="004A2AD1">
        <w:t>New SI proposal: Study on IMT parameters for 4400 to 4800 MHz, 7125 to 8400 MHz and 14800 to 15350 MHz</w:t>
      </w:r>
      <w:r>
        <w:t>”, Ericsson, RAN #103, M</w:t>
      </w:r>
      <w:r w:rsidRPr="00B364A3">
        <w:t>aastricht</w:t>
      </w:r>
      <w:r>
        <w:t xml:space="preserve">, Netherlands. </w:t>
      </w:r>
    </w:p>
    <w:p w14:paraId="03C07121" w14:textId="67B11743" w:rsidR="00B55777" w:rsidRDefault="00993E9B" w:rsidP="00EB6A62">
      <w:pPr>
        <w:pStyle w:val="B1"/>
        <w:ind w:left="426"/>
        <w:jc w:val="both"/>
      </w:pPr>
      <w:r>
        <w:t>[2]</w:t>
      </w:r>
      <w:r w:rsidR="00B55777">
        <w:t xml:space="preserve"> </w:t>
      </w:r>
      <w:r w:rsidR="00B55777" w:rsidRPr="00B55777">
        <w:t>R4-2406615</w:t>
      </w:r>
      <w:r w:rsidR="00B55777">
        <w:t>, “</w:t>
      </w:r>
      <w:r w:rsidR="00C41A46" w:rsidRPr="00C41A46">
        <w:t>WF on IMT parameters for other frequency ranges</w:t>
      </w:r>
      <w:r w:rsidR="00B55777">
        <w:t>”</w:t>
      </w:r>
      <w:r w:rsidR="00C41A46">
        <w:t xml:space="preserve">, CATT, RAN4#110-bis, Changsha, China </w:t>
      </w:r>
    </w:p>
    <w:p w14:paraId="01201017" w14:textId="77777777" w:rsidR="00226F21" w:rsidRDefault="00C41A46" w:rsidP="00EB6A62">
      <w:pPr>
        <w:pStyle w:val="B1"/>
        <w:ind w:left="426"/>
        <w:jc w:val="both"/>
      </w:pPr>
      <w:r>
        <w:t>[3]</w:t>
      </w:r>
      <w:r>
        <w:tab/>
      </w:r>
      <w:r w:rsidR="008314CA">
        <w:t>TR 38.921, “</w:t>
      </w:r>
      <w:r w:rsidR="008314CA" w:rsidRPr="00D04D6E">
        <w:t>Study on International Mobile Telecommunications (IMT) parameters for 6.425 - 7.025 GHz, 7.025 - 7.125 GHz and 10.0 - 10.5 GHz</w:t>
      </w:r>
      <w:r w:rsidR="008314CA">
        <w:t>”, 3GPP V17.1.0.</w:t>
      </w:r>
    </w:p>
    <w:p w14:paraId="501E226B" w14:textId="49BD7B91" w:rsidR="006B506A" w:rsidRPr="0082764C" w:rsidRDefault="006B506A" w:rsidP="00EB6A62">
      <w:pPr>
        <w:pStyle w:val="B1"/>
        <w:ind w:left="426"/>
        <w:jc w:val="both"/>
      </w:pPr>
      <w:r>
        <w:lastRenderedPageBreak/>
        <w:t xml:space="preserve">[4] </w:t>
      </w:r>
      <w:r w:rsidR="00E61CB1" w:rsidRPr="00753211">
        <w:t>RP-240789</w:t>
      </w:r>
      <w:r w:rsidR="00E61CB1">
        <w:t>,</w:t>
      </w:r>
      <w:r w:rsidR="00E61CB1" w:rsidRPr="005C32DA">
        <w:t xml:space="preserve"> </w:t>
      </w:r>
      <w:r w:rsidR="00E61CB1" w:rsidRPr="00785E35">
        <w:t>“</w:t>
      </w:r>
      <w:r w:rsidR="00E61CB1">
        <w:t>Revised</w:t>
      </w:r>
      <w:r w:rsidR="00E61CB1" w:rsidRPr="005945B3">
        <w:t xml:space="preserve"> WID: Evolution of NR duplex operation: Sub-band full duplex (SBFD)</w:t>
      </w:r>
      <w:r w:rsidR="00E61CB1" w:rsidRPr="00785E35">
        <w:t xml:space="preserve">”, </w:t>
      </w:r>
      <w:r w:rsidR="00E61CB1">
        <w:t>Huawei, HiSilicon</w:t>
      </w:r>
      <w:r w:rsidR="00E61CB1" w:rsidRPr="00785E35">
        <w:t xml:space="preserve">, </w:t>
      </w:r>
      <w:r w:rsidR="00E61CB1">
        <w:t xml:space="preserve">  </w:t>
      </w:r>
      <w:r w:rsidR="00E61CB1" w:rsidRPr="003E1C6B">
        <w:t>3GPP TSG RAN#</w:t>
      </w:r>
      <w:r w:rsidR="00E61CB1">
        <w:t>103</w:t>
      </w:r>
      <w:r w:rsidR="00E61CB1" w:rsidRPr="00785E35">
        <w:t>.</w:t>
      </w:r>
    </w:p>
    <w:p w14:paraId="2AAC5D96" w14:textId="77777777" w:rsidR="00993E9B" w:rsidRDefault="00993E9B" w:rsidP="00EB6A62">
      <w:pPr>
        <w:pStyle w:val="B1"/>
        <w:jc w:val="both"/>
      </w:pPr>
    </w:p>
    <w:p w14:paraId="318EFFBC" w14:textId="77777777" w:rsidR="00993E9B" w:rsidRDefault="00993E9B" w:rsidP="00EB6A62">
      <w:pPr>
        <w:pStyle w:val="B1"/>
        <w:ind w:left="0" w:firstLine="0"/>
        <w:jc w:val="both"/>
      </w:pPr>
    </w:p>
    <w:p w14:paraId="5467FF78" w14:textId="77777777" w:rsidR="00993E9B" w:rsidRDefault="00993E9B" w:rsidP="00EB6A62">
      <w:pPr>
        <w:jc w:val="both"/>
      </w:pPr>
    </w:p>
    <w:sectPr w:rsidR="00993E9B" w:rsidSect="00C21367">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290F5B8C"/>
    <w:multiLevelType w:val="multilevel"/>
    <w:tmpl w:val="290F5B8C"/>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2D32020B"/>
    <w:multiLevelType w:val="multilevel"/>
    <w:tmpl w:val="2D32020B"/>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F43239C"/>
    <w:multiLevelType w:val="hybridMultilevel"/>
    <w:tmpl w:val="9C82CD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20165617">
    <w:abstractNumId w:val="5"/>
  </w:num>
  <w:num w:numId="2" w16cid:durableId="1621305404">
    <w:abstractNumId w:val="1"/>
  </w:num>
  <w:num w:numId="3" w16cid:durableId="225802869">
    <w:abstractNumId w:val="2"/>
  </w:num>
  <w:num w:numId="4" w16cid:durableId="276178333">
    <w:abstractNumId w:val="0"/>
  </w:num>
  <w:num w:numId="5" w16cid:durableId="1935287387">
    <w:abstractNumId w:val="4"/>
  </w:num>
  <w:num w:numId="6" w16cid:durableId="578293186">
    <w:abstractNumId w:val="6"/>
  </w:num>
  <w:num w:numId="7" w16cid:durableId="20814451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E9B"/>
    <w:rsid w:val="000032EA"/>
    <w:rsid w:val="00037ABA"/>
    <w:rsid w:val="000443F3"/>
    <w:rsid w:val="00045BA0"/>
    <w:rsid w:val="000515F3"/>
    <w:rsid w:val="00057089"/>
    <w:rsid w:val="000644E6"/>
    <w:rsid w:val="00065D07"/>
    <w:rsid w:val="00074658"/>
    <w:rsid w:val="00093094"/>
    <w:rsid w:val="000B22E4"/>
    <w:rsid w:val="000B3542"/>
    <w:rsid w:val="000B3A88"/>
    <w:rsid w:val="000E6DCC"/>
    <w:rsid w:val="000E7DF4"/>
    <w:rsid w:val="001163DF"/>
    <w:rsid w:val="001275E0"/>
    <w:rsid w:val="001319A1"/>
    <w:rsid w:val="00136787"/>
    <w:rsid w:val="0013681E"/>
    <w:rsid w:val="001369FC"/>
    <w:rsid w:val="0014457D"/>
    <w:rsid w:val="00161208"/>
    <w:rsid w:val="00161DFB"/>
    <w:rsid w:val="0016762A"/>
    <w:rsid w:val="0017031A"/>
    <w:rsid w:val="001803A2"/>
    <w:rsid w:val="001A2438"/>
    <w:rsid w:val="001C1E73"/>
    <w:rsid w:val="001D026F"/>
    <w:rsid w:val="001D27C1"/>
    <w:rsid w:val="001D538E"/>
    <w:rsid w:val="00201213"/>
    <w:rsid w:val="00226F21"/>
    <w:rsid w:val="00227F48"/>
    <w:rsid w:val="00245EE4"/>
    <w:rsid w:val="00255056"/>
    <w:rsid w:val="00257967"/>
    <w:rsid w:val="00276C66"/>
    <w:rsid w:val="00292FF5"/>
    <w:rsid w:val="00297A8F"/>
    <w:rsid w:val="002A1AFD"/>
    <w:rsid w:val="002D37EF"/>
    <w:rsid w:val="002D7004"/>
    <w:rsid w:val="002D7FEC"/>
    <w:rsid w:val="002E0D2A"/>
    <w:rsid w:val="002E163C"/>
    <w:rsid w:val="002F21B4"/>
    <w:rsid w:val="002F5DAE"/>
    <w:rsid w:val="002F643B"/>
    <w:rsid w:val="00300553"/>
    <w:rsid w:val="0030399D"/>
    <w:rsid w:val="0030454C"/>
    <w:rsid w:val="00305B4F"/>
    <w:rsid w:val="00317293"/>
    <w:rsid w:val="00337758"/>
    <w:rsid w:val="003465F6"/>
    <w:rsid w:val="0035113A"/>
    <w:rsid w:val="00354AF8"/>
    <w:rsid w:val="00363980"/>
    <w:rsid w:val="00365D1E"/>
    <w:rsid w:val="003770DC"/>
    <w:rsid w:val="00391215"/>
    <w:rsid w:val="003936F9"/>
    <w:rsid w:val="003E4903"/>
    <w:rsid w:val="00406761"/>
    <w:rsid w:val="004172AD"/>
    <w:rsid w:val="00424A73"/>
    <w:rsid w:val="0043357D"/>
    <w:rsid w:val="00443278"/>
    <w:rsid w:val="00443AB1"/>
    <w:rsid w:val="00467828"/>
    <w:rsid w:val="00471D05"/>
    <w:rsid w:val="00471F05"/>
    <w:rsid w:val="00476EB9"/>
    <w:rsid w:val="004849E4"/>
    <w:rsid w:val="004A75F9"/>
    <w:rsid w:val="004C1514"/>
    <w:rsid w:val="004C3F82"/>
    <w:rsid w:val="004E5D73"/>
    <w:rsid w:val="0051387B"/>
    <w:rsid w:val="0051561A"/>
    <w:rsid w:val="00515FB6"/>
    <w:rsid w:val="005439D4"/>
    <w:rsid w:val="00563EE6"/>
    <w:rsid w:val="00574DD0"/>
    <w:rsid w:val="00582E47"/>
    <w:rsid w:val="005A146B"/>
    <w:rsid w:val="005A3804"/>
    <w:rsid w:val="005A5490"/>
    <w:rsid w:val="005A643E"/>
    <w:rsid w:val="005A68EB"/>
    <w:rsid w:val="005B04DF"/>
    <w:rsid w:val="005B4264"/>
    <w:rsid w:val="005B6ECB"/>
    <w:rsid w:val="005C0AEF"/>
    <w:rsid w:val="005C42B5"/>
    <w:rsid w:val="005E19D6"/>
    <w:rsid w:val="005F2940"/>
    <w:rsid w:val="00623074"/>
    <w:rsid w:val="00625037"/>
    <w:rsid w:val="00641343"/>
    <w:rsid w:val="00647F53"/>
    <w:rsid w:val="00650DBE"/>
    <w:rsid w:val="00655309"/>
    <w:rsid w:val="00656F91"/>
    <w:rsid w:val="0066665A"/>
    <w:rsid w:val="0067716E"/>
    <w:rsid w:val="006854BF"/>
    <w:rsid w:val="00692B4E"/>
    <w:rsid w:val="006955F4"/>
    <w:rsid w:val="00695DCF"/>
    <w:rsid w:val="006A56E7"/>
    <w:rsid w:val="006A6E35"/>
    <w:rsid w:val="006B506A"/>
    <w:rsid w:val="006C4E58"/>
    <w:rsid w:val="006D028C"/>
    <w:rsid w:val="006D52EE"/>
    <w:rsid w:val="006D77D2"/>
    <w:rsid w:val="006E1BA5"/>
    <w:rsid w:val="006F04C9"/>
    <w:rsid w:val="006F6794"/>
    <w:rsid w:val="006F7F7F"/>
    <w:rsid w:val="00717FE4"/>
    <w:rsid w:val="00732C96"/>
    <w:rsid w:val="00734E38"/>
    <w:rsid w:val="00737DCA"/>
    <w:rsid w:val="00741D3E"/>
    <w:rsid w:val="00741F1C"/>
    <w:rsid w:val="00746F1D"/>
    <w:rsid w:val="007514BE"/>
    <w:rsid w:val="007855B3"/>
    <w:rsid w:val="00791889"/>
    <w:rsid w:val="0079517F"/>
    <w:rsid w:val="007B480F"/>
    <w:rsid w:val="007B7220"/>
    <w:rsid w:val="007D0076"/>
    <w:rsid w:val="007D0FF3"/>
    <w:rsid w:val="007D1231"/>
    <w:rsid w:val="007D134E"/>
    <w:rsid w:val="007D250F"/>
    <w:rsid w:val="007D3037"/>
    <w:rsid w:val="007D7357"/>
    <w:rsid w:val="007E6BBF"/>
    <w:rsid w:val="007F2595"/>
    <w:rsid w:val="007F372E"/>
    <w:rsid w:val="00812BDE"/>
    <w:rsid w:val="008134E2"/>
    <w:rsid w:val="00813CE6"/>
    <w:rsid w:val="0082545C"/>
    <w:rsid w:val="0082764C"/>
    <w:rsid w:val="008314CA"/>
    <w:rsid w:val="00845BA2"/>
    <w:rsid w:val="00847821"/>
    <w:rsid w:val="00853E26"/>
    <w:rsid w:val="00854EC3"/>
    <w:rsid w:val="00860E1B"/>
    <w:rsid w:val="0086319B"/>
    <w:rsid w:val="008A151F"/>
    <w:rsid w:val="008A77DF"/>
    <w:rsid w:val="008B0E6C"/>
    <w:rsid w:val="008B1506"/>
    <w:rsid w:val="008B70F8"/>
    <w:rsid w:val="008D121C"/>
    <w:rsid w:val="008D4695"/>
    <w:rsid w:val="008E58C6"/>
    <w:rsid w:val="008E7DEB"/>
    <w:rsid w:val="00914E18"/>
    <w:rsid w:val="00915421"/>
    <w:rsid w:val="0092684B"/>
    <w:rsid w:val="009311F3"/>
    <w:rsid w:val="00937778"/>
    <w:rsid w:val="009570AD"/>
    <w:rsid w:val="0095735B"/>
    <w:rsid w:val="009771A4"/>
    <w:rsid w:val="00990CAD"/>
    <w:rsid w:val="00993E9B"/>
    <w:rsid w:val="009A5414"/>
    <w:rsid w:val="009A5839"/>
    <w:rsid w:val="009C729C"/>
    <w:rsid w:val="009D3713"/>
    <w:rsid w:val="009D5E9D"/>
    <w:rsid w:val="009E2A98"/>
    <w:rsid w:val="009E4743"/>
    <w:rsid w:val="00A03963"/>
    <w:rsid w:val="00A0411D"/>
    <w:rsid w:val="00A23173"/>
    <w:rsid w:val="00A40271"/>
    <w:rsid w:val="00A43466"/>
    <w:rsid w:val="00A504B0"/>
    <w:rsid w:val="00A52230"/>
    <w:rsid w:val="00A6765A"/>
    <w:rsid w:val="00A727B4"/>
    <w:rsid w:val="00A77492"/>
    <w:rsid w:val="00A85FE3"/>
    <w:rsid w:val="00A9007E"/>
    <w:rsid w:val="00A94212"/>
    <w:rsid w:val="00AB1AA7"/>
    <w:rsid w:val="00AB3CD3"/>
    <w:rsid w:val="00AC04C4"/>
    <w:rsid w:val="00AC7669"/>
    <w:rsid w:val="00AD47F0"/>
    <w:rsid w:val="00AD7C44"/>
    <w:rsid w:val="00AE510F"/>
    <w:rsid w:val="00B11736"/>
    <w:rsid w:val="00B25169"/>
    <w:rsid w:val="00B25ED1"/>
    <w:rsid w:val="00B26FC9"/>
    <w:rsid w:val="00B432C1"/>
    <w:rsid w:val="00B46944"/>
    <w:rsid w:val="00B5299E"/>
    <w:rsid w:val="00B52D45"/>
    <w:rsid w:val="00B55777"/>
    <w:rsid w:val="00B57C2C"/>
    <w:rsid w:val="00B75FB9"/>
    <w:rsid w:val="00B814D6"/>
    <w:rsid w:val="00B81F1B"/>
    <w:rsid w:val="00B820D4"/>
    <w:rsid w:val="00B87AAF"/>
    <w:rsid w:val="00BA7F52"/>
    <w:rsid w:val="00BB0108"/>
    <w:rsid w:val="00BB5183"/>
    <w:rsid w:val="00BC0D74"/>
    <w:rsid w:val="00BD22DF"/>
    <w:rsid w:val="00BE07F8"/>
    <w:rsid w:val="00BE6359"/>
    <w:rsid w:val="00C11F67"/>
    <w:rsid w:val="00C12DB0"/>
    <w:rsid w:val="00C13DA6"/>
    <w:rsid w:val="00C21367"/>
    <w:rsid w:val="00C36C62"/>
    <w:rsid w:val="00C41A46"/>
    <w:rsid w:val="00C447A0"/>
    <w:rsid w:val="00C614EB"/>
    <w:rsid w:val="00C64875"/>
    <w:rsid w:val="00C70A56"/>
    <w:rsid w:val="00C70B0D"/>
    <w:rsid w:val="00C729DC"/>
    <w:rsid w:val="00C778EA"/>
    <w:rsid w:val="00C93632"/>
    <w:rsid w:val="00CA3370"/>
    <w:rsid w:val="00CB1B49"/>
    <w:rsid w:val="00CC483D"/>
    <w:rsid w:val="00CE63B2"/>
    <w:rsid w:val="00CE7EAC"/>
    <w:rsid w:val="00CF1C8B"/>
    <w:rsid w:val="00D41446"/>
    <w:rsid w:val="00D4248B"/>
    <w:rsid w:val="00D47472"/>
    <w:rsid w:val="00D52CB3"/>
    <w:rsid w:val="00D57635"/>
    <w:rsid w:val="00D61AB0"/>
    <w:rsid w:val="00D61CC4"/>
    <w:rsid w:val="00D668F0"/>
    <w:rsid w:val="00D76887"/>
    <w:rsid w:val="00D81564"/>
    <w:rsid w:val="00D82BB3"/>
    <w:rsid w:val="00DA3AC3"/>
    <w:rsid w:val="00DA5C65"/>
    <w:rsid w:val="00DA69DB"/>
    <w:rsid w:val="00DB713A"/>
    <w:rsid w:val="00DC080C"/>
    <w:rsid w:val="00DD0F13"/>
    <w:rsid w:val="00DE69CF"/>
    <w:rsid w:val="00DF6563"/>
    <w:rsid w:val="00E019E8"/>
    <w:rsid w:val="00E02357"/>
    <w:rsid w:val="00E02FD4"/>
    <w:rsid w:val="00E11EED"/>
    <w:rsid w:val="00E24F64"/>
    <w:rsid w:val="00E31C49"/>
    <w:rsid w:val="00E33389"/>
    <w:rsid w:val="00E61CB1"/>
    <w:rsid w:val="00E625BD"/>
    <w:rsid w:val="00E64234"/>
    <w:rsid w:val="00E770D6"/>
    <w:rsid w:val="00E81A54"/>
    <w:rsid w:val="00E96224"/>
    <w:rsid w:val="00EB6A62"/>
    <w:rsid w:val="00EC2208"/>
    <w:rsid w:val="00EC2BE8"/>
    <w:rsid w:val="00EC7443"/>
    <w:rsid w:val="00EE1C2D"/>
    <w:rsid w:val="00EE7542"/>
    <w:rsid w:val="00EF4D1E"/>
    <w:rsid w:val="00EF5544"/>
    <w:rsid w:val="00F05646"/>
    <w:rsid w:val="00F076B6"/>
    <w:rsid w:val="00F34C84"/>
    <w:rsid w:val="00F36698"/>
    <w:rsid w:val="00F36C04"/>
    <w:rsid w:val="00F37DF5"/>
    <w:rsid w:val="00F46B06"/>
    <w:rsid w:val="00F546F1"/>
    <w:rsid w:val="00F57B90"/>
    <w:rsid w:val="00F9647D"/>
    <w:rsid w:val="00F974E7"/>
    <w:rsid w:val="00FA5B43"/>
    <w:rsid w:val="00FC26A7"/>
    <w:rsid w:val="00FD1F80"/>
    <w:rsid w:val="00FF0C68"/>
    <w:rsid w:val="00FF6E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3D278"/>
  <w15:chartTrackingRefBased/>
  <w15:docId w15:val="{085305C5-9A5F-4C02-A382-FF85D319B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E9B"/>
    <w:pPr>
      <w:spacing w:after="180" w:line="240" w:lineRule="auto"/>
    </w:pPr>
    <w:rPr>
      <w:rFonts w:ascii="Times New Roman" w:eastAsia="Times New Roman" w:hAnsi="Times New Roman" w:cs="Times New Roman"/>
      <w:kern w:val="0"/>
      <w:sz w:val="20"/>
      <w:szCs w:val="20"/>
      <w:lang w:val="en-GB" w:eastAsia="ko-KR"/>
      <w14:ligatures w14:val="none"/>
    </w:rPr>
  </w:style>
  <w:style w:type="paragraph" w:styleId="Heading1">
    <w:name w:val="heading 1"/>
    <w:next w:val="Normal"/>
    <w:link w:val="Heading1Char"/>
    <w:qFormat/>
    <w:rsid w:val="00993E9B"/>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eastAsia="ko-KR"/>
      <w14:ligatures w14:val="none"/>
    </w:rPr>
  </w:style>
  <w:style w:type="paragraph" w:styleId="Heading2">
    <w:name w:val="heading 2"/>
    <w:basedOn w:val="Heading1"/>
    <w:next w:val="Normal"/>
    <w:link w:val="Heading2Char"/>
    <w:qFormat/>
    <w:rsid w:val="00993E9B"/>
    <w:pPr>
      <w:pBdr>
        <w:top w:val="none" w:sz="0" w:space="0" w:color="auto"/>
      </w:pBdr>
      <w:spacing w:before="180"/>
      <w:outlineLvl w:val="1"/>
    </w:pPr>
    <w:rPr>
      <w:sz w:val="32"/>
    </w:rPr>
  </w:style>
  <w:style w:type="paragraph" w:styleId="Heading3">
    <w:name w:val="heading 3"/>
    <w:basedOn w:val="Heading2"/>
    <w:next w:val="Normal"/>
    <w:link w:val="Heading3Char"/>
    <w:qFormat/>
    <w:rsid w:val="00993E9B"/>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3E9B"/>
    <w:rPr>
      <w:rFonts w:ascii="Arial" w:eastAsia="Times New Roman" w:hAnsi="Arial" w:cs="Times New Roman"/>
      <w:kern w:val="0"/>
      <w:sz w:val="36"/>
      <w:szCs w:val="20"/>
      <w:lang w:val="en-GB" w:eastAsia="ko-KR"/>
      <w14:ligatures w14:val="none"/>
    </w:rPr>
  </w:style>
  <w:style w:type="character" w:customStyle="1" w:styleId="Heading2Char">
    <w:name w:val="Heading 2 Char"/>
    <w:basedOn w:val="DefaultParagraphFont"/>
    <w:link w:val="Heading2"/>
    <w:rsid w:val="00993E9B"/>
    <w:rPr>
      <w:rFonts w:ascii="Arial" w:eastAsia="Times New Roman" w:hAnsi="Arial" w:cs="Times New Roman"/>
      <w:kern w:val="0"/>
      <w:sz w:val="32"/>
      <w:szCs w:val="20"/>
      <w:lang w:val="en-GB" w:eastAsia="ko-KR"/>
      <w14:ligatures w14:val="none"/>
    </w:rPr>
  </w:style>
  <w:style w:type="character" w:customStyle="1" w:styleId="Heading3Char">
    <w:name w:val="Heading 3 Char"/>
    <w:basedOn w:val="DefaultParagraphFont"/>
    <w:link w:val="Heading3"/>
    <w:rsid w:val="00993E9B"/>
    <w:rPr>
      <w:rFonts w:ascii="Arial" w:eastAsia="Times New Roman" w:hAnsi="Arial" w:cs="Times New Roman"/>
      <w:kern w:val="0"/>
      <w:sz w:val="28"/>
      <w:szCs w:val="20"/>
      <w:lang w:val="en-GB" w:eastAsia="ko-KR"/>
      <w14:ligatures w14:val="none"/>
    </w:rPr>
  </w:style>
  <w:style w:type="paragraph" w:customStyle="1" w:styleId="NO">
    <w:name w:val="NO"/>
    <w:basedOn w:val="Normal"/>
    <w:qFormat/>
    <w:rsid w:val="00993E9B"/>
    <w:pPr>
      <w:keepLines/>
      <w:ind w:left="1135" w:hanging="851"/>
    </w:pPr>
  </w:style>
  <w:style w:type="paragraph" w:customStyle="1" w:styleId="B1">
    <w:name w:val="B1"/>
    <w:basedOn w:val="List"/>
    <w:link w:val="B1Char"/>
    <w:qFormat/>
    <w:rsid w:val="00993E9B"/>
    <w:pPr>
      <w:ind w:left="568" w:hanging="284"/>
      <w:contextualSpacing w:val="0"/>
    </w:pPr>
  </w:style>
  <w:style w:type="paragraph" w:customStyle="1" w:styleId="CRCoverPage">
    <w:name w:val="CR Cover Page"/>
    <w:rsid w:val="00993E9B"/>
    <w:pPr>
      <w:spacing w:after="120" w:line="240" w:lineRule="auto"/>
    </w:pPr>
    <w:rPr>
      <w:rFonts w:ascii="Arial" w:eastAsia="MS Mincho" w:hAnsi="Arial" w:cs="Times New Roman"/>
      <w:kern w:val="0"/>
      <w:sz w:val="20"/>
      <w:szCs w:val="20"/>
      <w:lang w:val="en-GB"/>
      <w14:ligatures w14:val="none"/>
    </w:rPr>
  </w:style>
  <w:style w:type="table" w:styleId="TableGrid">
    <w:name w:val="Table Grid"/>
    <w:basedOn w:val="TableNormal"/>
    <w:qFormat/>
    <w:rsid w:val="00993E9B"/>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93E9B"/>
    <w:rPr>
      <w:b/>
      <w:bCs/>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993E9B"/>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993E9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993E9B"/>
    <w:rPr>
      <w:rFonts w:ascii="Times New Roman" w:eastAsia="Times New Roman" w:hAnsi="Times New Roman" w:cs="Times New Roman"/>
      <w:kern w:val="0"/>
      <w:sz w:val="20"/>
      <w:szCs w:val="20"/>
      <w:lang w:val="en-GB" w:eastAsia="ko-KR"/>
      <w14:ligatures w14:val="none"/>
    </w:rPr>
  </w:style>
  <w:style w:type="paragraph" w:customStyle="1" w:styleId="enumlev2">
    <w:name w:val="enumlev2"/>
    <w:basedOn w:val="Normal"/>
    <w:uiPriority w:val="99"/>
    <w:qFormat/>
    <w:rsid w:val="00993E9B"/>
    <w:pPr>
      <w:tabs>
        <w:tab w:val="left" w:pos="1134"/>
        <w:tab w:val="left" w:pos="1871"/>
        <w:tab w:val="left" w:pos="2608"/>
        <w:tab w:val="left" w:pos="3345"/>
      </w:tabs>
      <w:overflowPunct w:val="0"/>
      <w:autoSpaceDE w:val="0"/>
      <w:autoSpaceDN w:val="0"/>
      <w:adjustRightInd w:val="0"/>
      <w:spacing w:before="80" w:after="0"/>
      <w:ind w:left="1871" w:hanging="737"/>
      <w:textAlignment w:val="baseline"/>
    </w:pPr>
    <w:rPr>
      <w:sz w:val="24"/>
      <w:lang w:eastAsia="en-US"/>
    </w:rPr>
  </w:style>
  <w:style w:type="paragraph" w:customStyle="1" w:styleId="enumlev3">
    <w:name w:val="enumlev3"/>
    <w:basedOn w:val="enumlev2"/>
    <w:rsid w:val="00993E9B"/>
    <w:pPr>
      <w:ind w:left="2268" w:hanging="397"/>
    </w:pPr>
  </w:style>
  <w:style w:type="paragraph" w:styleId="List">
    <w:name w:val="List"/>
    <w:basedOn w:val="Normal"/>
    <w:uiPriority w:val="99"/>
    <w:semiHidden/>
    <w:unhideWhenUsed/>
    <w:rsid w:val="00993E9B"/>
    <w:pPr>
      <w:ind w:left="283" w:hanging="283"/>
      <w:contextualSpacing/>
    </w:pPr>
  </w:style>
  <w:style w:type="paragraph" w:customStyle="1" w:styleId="TableNo">
    <w:name w:val="Table_No"/>
    <w:basedOn w:val="Normal"/>
    <w:next w:val="Normal"/>
    <w:link w:val="TableNo0"/>
    <w:qFormat/>
    <w:rsid w:val="007D0076"/>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US"/>
    </w:rPr>
  </w:style>
  <w:style w:type="paragraph" w:customStyle="1" w:styleId="Tabletitle">
    <w:name w:val="Table_title"/>
    <w:basedOn w:val="Normal"/>
    <w:next w:val="Normal"/>
    <w:link w:val="Tabletitle0"/>
    <w:qFormat/>
    <w:rsid w:val="007D007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US"/>
    </w:rPr>
  </w:style>
  <w:style w:type="character" w:customStyle="1" w:styleId="TableNo0">
    <w:name w:val="Table_No Знак"/>
    <w:link w:val="TableNo"/>
    <w:qFormat/>
    <w:locked/>
    <w:rsid w:val="007D0076"/>
    <w:rPr>
      <w:rFonts w:ascii="Times New Roman" w:eastAsia="Times New Roman" w:hAnsi="Times New Roman" w:cs="Times New Roman"/>
      <w:caps/>
      <w:kern w:val="0"/>
      <w:sz w:val="20"/>
      <w:szCs w:val="20"/>
      <w:lang w:val="en-GB"/>
      <w14:ligatures w14:val="none"/>
    </w:rPr>
  </w:style>
  <w:style w:type="character" w:customStyle="1" w:styleId="Tabletitle0">
    <w:name w:val="Table_title Знак"/>
    <w:link w:val="Tabletitle"/>
    <w:qFormat/>
    <w:locked/>
    <w:rsid w:val="007D0076"/>
    <w:rPr>
      <w:rFonts w:ascii="Times New Roman Bold" w:eastAsia="Times New Roman" w:hAnsi="Times New Roman Bold" w:cs="Times New Roman"/>
      <w:b/>
      <w:kern w:val="0"/>
      <w:sz w:val="20"/>
      <w:szCs w:val="20"/>
      <w:lang w:val="en-GB"/>
      <w14:ligatures w14:val="none"/>
    </w:rPr>
  </w:style>
  <w:style w:type="paragraph" w:customStyle="1" w:styleId="Tabletext">
    <w:name w:val="Table_text"/>
    <w:basedOn w:val="Normal"/>
    <w:link w:val="TabletextChar"/>
    <w:qFormat/>
    <w:rsid w:val="00EF554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lang w:eastAsia="en-US"/>
    </w:rPr>
  </w:style>
  <w:style w:type="character" w:customStyle="1" w:styleId="TabletextChar">
    <w:name w:val="Table_text Char"/>
    <w:link w:val="Tabletext"/>
    <w:locked/>
    <w:rsid w:val="00EF5544"/>
    <w:rPr>
      <w:rFonts w:ascii="Times New Roman" w:eastAsia="Times New Roman" w:hAnsi="Times New Roman" w:cs="Times New Roman"/>
      <w:kern w:val="0"/>
      <w:sz w:val="20"/>
      <w:szCs w:val="20"/>
      <w:lang w:val="en-GB"/>
      <w14:ligatures w14:val="none"/>
    </w:rPr>
  </w:style>
  <w:style w:type="paragraph" w:styleId="NormalWeb">
    <w:name w:val="Normal (Web)"/>
    <w:basedOn w:val="Normal"/>
    <w:uiPriority w:val="99"/>
    <w:semiHidden/>
    <w:unhideWhenUsed/>
    <w:rsid w:val="00E33389"/>
    <w:pPr>
      <w:spacing w:before="100" w:beforeAutospacing="1" w:after="100" w:afterAutospacing="1"/>
    </w:pPr>
    <w:rPr>
      <w:sz w:val="24"/>
      <w:szCs w:val="24"/>
      <w:lang w:val="en-US" w:eastAsia="en-US"/>
    </w:rPr>
  </w:style>
  <w:style w:type="character" w:styleId="Hyperlink">
    <w:name w:val="Hyperlink"/>
    <w:uiPriority w:val="99"/>
    <w:unhideWhenUsed/>
    <w:rsid w:val="00D82BB3"/>
    <w:rPr>
      <w:color w:val="0000FF"/>
      <w:u w:val="single"/>
    </w:rPr>
  </w:style>
  <w:style w:type="paragraph" w:customStyle="1" w:styleId="Tablehead">
    <w:name w:val="Table_head"/>
    <w:basedOn w:val="Normal"/>
    <w:link w:val="TableheadChar"/>
    <w:qFormat/>
    <w:rsid w:val="00D82BB3"/>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lang w:eastAsia="en-US"/>
    </w:rPr>
  </w:style>
  <w:style w:type="paragraph" w:customStyle="1" w:styleId="Tablefin">
    <w:name w:val="Table_fin"/>
    <w:basedOn w:val="Normal"/>
    <w:rsid w:val="00D82BB3"/>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character" w:customStyle="1" w:styleId="TableheadChar">
    <w:name w:val="Table_head Char"/>
    <w:link w:val="Tablehead"/>
    <w:locked/>
    <w:rsid w:val="00D82BB3"/>
    <w:rPr>
      <w:rFonts w:ascii="Times New Roman Bold" w:eastAsia="Times New Roman" w:hAnsi="Times New Roman Bold" w:cs="Times New Roman Bold"/>
      <w:b/>
      <w:kern w:val="0"/>
      <w:sz w:val="20"/>
      <w:szCs w:val="20"/>
      <w:lang w:val="en-GB"/>
      <w14:ligatures w14:val="none"/>
    </w:rPr>
  </w:style>
  <w:style w:type="paragraph" w:customStyle="1" w:styleId="References">
    <w:name w:val="References"/>
    <w:basedOn w:val="Normal"/>
    <w:qFormat/>
    <w:rsid w:val="0082764C"/>
    <w:pPr>
      <w:numPr>
        <w:numId w:val="5"/>
      </w:numPr>
      <w:autoSpaceDE w:val="0"/>
      <w:autoSpaceDN w:val="0"/>
      <w:snapToGrid w:val="0"/>
      <w:spacing w:after="60"/>
      <w:jc w:val="both"/>
    </w:pPr>
    <w:rPr>
      <w:rFonts w:eastAsia="SimSun"/>
      <w:szCs w:val="16"/>
      <w:lang w:val="en-US" w:eastAsia="en-US"/>
    </w:rPr>
  </w:style>
  <w:style w:type="character" w:styleId="CommentReference">
    <w:name w:val="annotation reference"/>
    <w:basedOn w:val="DefaultParagraphFont"/>
    <w:uiPriority w:val="99"/>
    <w:semiHidden/>
    <w:unhideWhenUsed/>
    <w:rsid w:val="00AD7C44"/>
    <w:rPr>
      <w:sz w:val="16"/>
      <w:szCs w:val="16"/>
    </w:rPr>
  </w:style>
  <w:style w:type="paragraph" w:styleId="CommentText">
    <w:name w:val="annotation text"/>
    <w:basedOn w:val="Normal"/>
    <w:link w:val="CommentTextChar"/>
    <w:uiPriority w:val="99"/>
    <w:unhideWhenUsed/>
    <w:rsid w:val="00AD7C44"/>
  </w:style>
  <w:style w:type="character" w:customStyle="1" w:styleId="CommentTextChar">
    <w:name w:val="Comment Text Char"/>
    <w:basedOn w:val="DefaultParagraphFont"/>
    <w:link w:val="CommentText"/>
    <w:uiPriority w:val="99"/>
    <w:rsid w:val="00AD7C44"/>
    <w:rPr>
      <w:rFonts w:ascii="Times New Roman" w:eastAsia="Times New Roman" w:hAnsi="Times New Roman" w:cs="Times New Roman"/>
      <w:kern w:val="0"/>
      <w:sz w:val="20"/>
      <w:szCs w:val="20"/>
      <w:lang w:val="en-GB" w:eastAsia="ko-KR"/>
      <w14:ligatures w14:val="none"/>
    </w:rPr>
  </w:style>
  <w:style w:type="paragraph" w:styleId="CommentSubject">
    <w:name w:val="annotation subject"/>
    <w:basedOn w:val="CommentText"/>
    <w:next w:val="CommentText"/>
    <w:link w:val="CommentSubjectChar"/>
    <w:uiPriority w:val="99"/>
    <w:semiHidden/>
    <w:unhideWhenUsed/>
    <w:rsid w:val="00AD7C44"/>
    <w:rPr>
      <w:b/>
      <w:bCs/>
    </w:rPr>
  </w:style>
  <w:style w:type="character" w:customStyle="1" w:styleId="CommentSubjectChar">
    <w:name w:val="Comment Subject Char"/>
    <w:basedOn w:val="CommentTextChar"/>
    <w:link w:val="CommentSubject"/>
    <w:uiPriority w:val="99"/>
    <w:semiHidden/>
    <w:rsid w:val="00AD7C44"/>
    <w:rPr>
      <w:rFonts w:ascii="Times New Roman" w:eastAsia="Times New Roman" w:hAnsi="Times New Roman" w:cs="Times New Roman"/>
      <w:b/>
      <w:bCs/>
      <w:kern w:val="0"/>
      <w:sz w:val="20"/>
      <w:szCs w:val="20"/>
      <w:lang w:val="en-GB"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867357">
      <w:bodyDiv w:val="1"/>
      <w:marLeft w:val="0"/>
      <w:marRight w:val="0"/>
      <w:marTop w:val="0"/>
      <w:marBottom w:val="0"/>
      <w:divBdr>
        <w:top w:val="none" w:sz="0" w:space="0" w:color="auto"/>
        <w:left w:val="none" w:sz="0" w:space="0" w:color="auto"/>
        <w:bottom w:val="none" w:sz="0" w:space="0" w:color="auto"/>
        <w:right w:val="none" w:sz="0" w:space="0" w:color="auto"/>
      </w:divBdr>
    </w:div>
    <w:div w:id="405107869">
      <w:bodyDiv w:val="1"/>
      <w:marLeft w:val="0"/>
      <w:marRight w:val="0"/>
      <w:marTop w:val="0"/>
      <w:marBottom w:val="0"/>
      <w:divBdr>
        <w:top w:val="none" w:sz="0" w:space="0" w:color="auto"/>
        <w:left w:val="none" w:sz="0" w:space="0" w:color="auto"/>
        <w:bottom w:val="none" w:sz="0" w:space="0" w:color="auto"/>
        <w:right w:val="none" w:sz="0" w:space="0" w:color="auto"/>
      </w:divBdr>
    </w:div>
    <w:div w:id="586965365">
      <w:bodyDiv w:val="1"/>
      <w:marLeft w:val="0"/>
      <w:marRight w:val="0"/>
      <w:marTop w:val="0"/>
      <w:marBottom w:val="0"/>
      <w:divBdr>
        <w:top w:val="none" w:sz="0" w:space="0" w:color="auto"/>
        <w:left w:val="none" w:sz="0" w:space="0" w:color="auto"/>
        <w:bottom w:val="none" w:sz="0" w:space="0" w:color="auto"/>
        <w:right w:val="none" w:sz="0" w:space="0" w:color="auto"/>
      </w:divBdr>
    </w:div>
    <w:div w:id="1017737566">
      <w:bodyDiv w:val="1"/>
      <w:marLeft w:val="0"/>
      <w:marRight w:val="0"/>
      <w:marTop w:val="0"/>
      <w:marBottom w:val="0"/>
      <w:divBdr>
        <w:top w:val="none" w:sz="0" w:space="0" w:color="auto"/>
        <w:left w:val="none" w:sz="0" w:space="0" w:color="auto"/>
        <w:bottom w:val="none" w:sz="0" w:space="0" w:color="auto"/>
        <w:right w:val="none" w:sz="0" w:space="0" w:color="auto"/>
      </w:divBdr>
      <w:divsChild>
        <w:div w:id="987633070">
          <w:marLeft w:val="547"/>
          <w:marRight w:val="0"/>
          <w:marTop w:val="45"/>
          <w:marBottom w:val="45"/>
          <w:divBdr>
            <w:top w:val="none" w:sz="0" w:space="0" w:color="auto"/>
            <w:left w:val="none" w:sz="0" w:space="0" w:color="auto"/>
            <w:bottom w:val="none" w:sz="0" w:space="0" w:color="auto"/>
            <w:right w:val="none" w:sz="0" w:space="0" w:color="auto"/>
          </w:divBdr>
        </w:div>
      </w:divsChild>
    </w:div>
    <w:div w:id="193485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6" ma:contentTypeDescription="Create a new document." ma:contentTypeScope="" ma:versionID="6593e05d3249a686415b3c4bc5bf2fa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8a2557a5bddac597677a7c527f2eb7a5"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527997-1C03-4131-B1B9-FC4A4EA48EE6}">
  <ds:schemaRefs>
    <ds:schemaRef ds:uri="http://purl.org/dc/terms/"/>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http://purl.org/dc/dcmitype/"/>
    <ds:schemaRef ds:uri="e51413fb-b6f8-4f29-abc2-eb20455e809e"/>
    <ds:schemaRef ds:uri="a7036771-d2e9-4e8a-9ef7-3a342200a421"/>
    <ds:schemaRef ds:uri="http://www.w3.org/XML/1998/namespace"/>
  </ds:schemaRefs>
</ds:datastoreItem>
</file>

<file path=customXml/itemProps2.xml><?xml version="1.0" encoding="utf-8"?>
<ds:datastoreItem xmlns:ds="http://schemas.openxmlformats.org/officeDocument/2006/customXml" ds:itemID="{BCDEC236-D1CF-48C3-A415-877418994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2F5AED-8D42-45FD-B5F7-09943D470B49}">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1805</TotalTime>
  <Pages>4</Pages>
  <Words>1533</Words>
  <Characters>8743</Characters>
  <Application>Microsoft Office Word</Application>
  <DocSecurity>0</DocSecurity>
  <Lines>72</Lines>
  <Paragraphs>20</Paragraphs>
  <ScaleCrop>false</ScaleCrop>
  <Company>Qualcomm Incorporated</Company>
  <LinksUpToDate>false</LinksUpToDate>
  <CharactersWithSpaces>10256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301</cp:revision>
  <dcterms:created xsi:type="dcterms:W3CDTF">2024-03-28T10:16:00Z</dcterms:created>
  <dcterms:modified xsi:type="dcterms:W3CDTF">2024-05-13T13:07:00Z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MediaServiceImageTags">
    <vt:lpwstr/>
  </property>
</Properties>
</file>